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2C40B6D9"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744E3E">
        <w:rPr>
          <w:rFonts w:ascii="Arial" w:eastAsia="Batang" w:hAnsi="Arial" w:cs="Arial"/>
          <w:b/>
          <w:bCs/>
          <w:sz w:val="28"/>
          <w:szCs w:val="24"/>
        </w:rPr>
        <w:t> </w:t>
      </w:r>
      <w:r w:rsidRPr="00926446">
        <w:rPr>
          <w:rFonts w:ascii="Arial" w:eastAsia="Batang" w:hAnsi="Arial" w:cs="Arial"/>
          <w:b/>
          <w:bCs/>
          <w:sz w:val="28"/>
          <w:szCs w:val="24"/>
        </w:rPr>
        <w:t>10</w:t>
      </w:r>
      <w:r w:rsidR="0091693A">
        <w:rPr>
          <w:rFonts w:ascii="Arial" w:eastAsia="Batang" w:hAnsi="Arial" w:cs="Arial"/>
          <w:b/>
          <w:bCs/>
          <w:sz w:val="28"/>
          <w:szCs w:val="24"/>
        </w:rPr>
        <w:t>4</w:t>
      </w:r>
      <w:r w:rsidR="00744E3E">
        <w:rPr>
          <w:rFonts w:ascii="Arial" w:eastAsia="Batang" w:hAnsi="Arial" w:cs="Arial"/>
          <w:b/>
          <w:bCs/>
          <w:sz w:val="28"/>
          <w:szCs w:val="24"/>
        </w:rPr>
        <w:t>b</w:t>
      </w:r>
      <w:r>
        <w:rPr>
          <w:rFonts w:ascii="Arial" w:eastAsia="Batang" w:hAnsi="Arial" w:cs="Arial"/>
          <w:b/>
          <w:bCs/>
          <w:sz w:val="28"/>
          <w:szCs w:val="24"/>
        </w:rPr>
        <w:t xml:space="preserve">-e                                                               </w:t>
      </w:r>
      <w:r w:rsidR="005052CD" w:rsidRPr="005052CD">
        <w:rPr>
          <w:rFonts w:ascii="Arial" w:eastAsia="Batang" w:hAnsi="Arial" w:cs="Arial"/>
          <w:b/>
          <w:bCs/>
          <w:sz w:val="28"/>
          <w:szCs w:val="24"/>
        </w:rPr>
        <w:t>R1-2103057</w:t>
      </w:r>
    </w:p>
    <w:p w14:paraId="5AF5D47C" w14:textId="77777777" w:rsidR="00744E3E" w:rsidRPr="002E16F4" w:rsidRDefault="00744E3E" w:rsidP="00744E3E">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12</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20</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April,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7733209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91AD8" w:rsidRPr="00F91AD8">
        <w:rPr>
          <w:rFonts w:ascii="Arial" w:eastAsia="Malgun Gothic" w:hAnsi="Arial" w:cs="Arial"/>
          <w:b/>
          <w:sz w:val="24"/>
          <w:lang w:val="en-US" w:eastAsia="ko-KR"/>
        </w:rPr>
        <w:t>On timing relationship for NB-IoT and eMTC NTN</w:t>
      </w:r>
    </w:p>
    <w:p w14:paraId="3596330A" w14:textId="115993F8"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635B58">
        <w:rPr>
          <w:rFonts w:ascii="Arial" w:hAnsi="Arial" w:cs="Arial"/>
          <w:b/>
          <w:sz w:val="24"/>
          <w:lang w:val="en-US"/>
        </w:rPr>
        <w:t>15</w:t>
      </w:r>
      <w:r w:rsidR="00B5245B">
        <w:rPr>
          <w:rFonts w:ascii="Arial" w:hAnsi="Arial" w:cs="Arial"/>
          <w:b/>
          <w:sz w:val="24"/>
          <w:lang w:val="en-US"/>
        </w:rPr>
        <w:t>.</w:t>
      </w:r>
      <w:r w:rsidR="00E06AAD">
        <w:rPr>
          <w:rFonts w:ascii="Arial" w:hAnsi="Arial" w:cs="Arial"/>
          <w:b/>
          <w:sz w:val="24"/>
          <w:lang w:val="en-US"/>
        </w:rPr>
        <w:t>3</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3153A60" w14:textId="5AEC2C4D" w:rsidR="00193AEA" w:rsidRDefault="00193AEA" w:rsidP="00193AEA">
      <w:pPr>
        <w:snapToGrid w:val="0"/>
        <w:spacing w:before="240" w:after="120"/>
        <w:ind w:right="-99"/>
        <w:jc w:val="both"/>
        <w:textAlignment w:val="auto"/>
        <w:rPr>
          <w:sz w:val="22"/>
          <w:szCs w:val="22"/>
          <w:lang w:val="en-US" w:eastAsia="ko-KR"/>
        </w:rPr>
      </w:pPr>
      <w:r w:rsidRPr="000B4ADF">
        <w:rPr>
          <w:sz w:val="22"/>
          <w:szCs w:val="22"/>
          <w:lang w:val="en-US" w:eastAsia="ko-KR"/>
        </w:rPr>
        <w:t xml:space="preserve">At the 3GPP TSG RAN meeting #86 new </w:t>
      </w:r>
      <w:r>
        <w:rPr>
          <w:sz w:val="22"/>
          <w:szCs w:val="22"/>
          <w:lang w:val="en-US" w:eastAsia="ko-KR"/>
        </w:rPr>
        <w:t>study</w:t>
      </w:r>
      <w:r w:rsidRPr="000B4ADF">
        <w:rPr>
          <w:sz w:val="22"/>
          <w:szCs w:val="22"/>
          <w:lang w:val="en-US" w:eastAsia="ko-KR"/>
        </w:rPr>
        <w:t xml:space="preserve"> item (</w:t>
      </w:r>
      <w:r>
        <w:rPr>
          <w:sz w:val="22"/>
          <w:szCs w:val="22"/>
          <w:lang w:val="en-US" w:eastAsia="ko-KR"/>
        </w:rPr>
        <w:t>S</w:t>
      </w:r>
      <w:r w:rsidRPr="000B4ADF">
        <w:rPr>
          <w:sz w:val="22"/>
          <w:szCs w:val="22"/>
          <w:lang w:val="en-US" w:eastAsia="ko-KR"/>
        </w:rPr>
        <w:t xml:space="preserve">I) on </w:t>
      </w:r>
      <w:r w:rsidRPr="005C3FE0">
        <w:rPr>
          <w:sz w:val="22"/>
          <w:szCs w:val="22"/>
          <w:lang w:val="en-US" w:eastAsia="ko-KR"/>
        </w:rPr>
        <w:t>NB-Io</w:t>
      </w:r>
      <w:r>
        <w:rPr>
          <w:sz w:val="22"/>
          <w:szCs w:val="22"/>
          <w:lang w:val="en-US" w:eastAsia="ko-KR"/>
        </w:rPr>
        <w:t>T</w:t>
      </w:r>
      <w:r w:rsidRPr="005C3FE0">
        <w:rPr>
          <w:sz w:val="22"/>
          <w:szCs w:val="22"/>
          <w:lang w:val="en-US" w:eastAsia="ko-KR"/>
        </w:rPr>
        <w:t>/eMTC support for Non-Terrestrial Network</w:t>
      </w:r>
      <w:r w:rsidRPr="000B4ADF">
        <w:rPr>
          <w:sz w:val="22"/>
          <w:szCs w:val="22"/>
          <w:lang w:val="en-US" w:eastAsia="ko-KR"/>
        </w:rPr>
        <w:t xml:space="preserve"> (NTN) was approved in [1]. </w:t>
      </w:r>
      <w:r>
        <w:rPr>
          <w:sz w:val="22"/>
          <w:szCs w:val="22"/>
          <w:lang w:val="en-US" w:eastAsia="ko-KR"/>
        </w:rPr>
        <w:t>This SI</w:t>
      </w:r>
      <w:r w:rsidRPr="000B4ADF">
        <w:rPr>
          <w:sz w:val="22"/>
          <w:szCs w:val="22"/>
          <w:lang w:val="en-US" w:eastAsia="ko-KR"/>
        </w:rPr>
        <w:t xml:space="preserve"> aims to </w:t>
      </w:r>
      <w:r w:rsidRPr="00880DD0">
        <w:rPr>
          <w:sz w:val="22"/>
          <w:szCs w:val="22"/>
          <w:lang w:val="en-US" w:eastAsia="ko-KR"/>
        </w:rPr>
        <w:t>evaluate and confirm solutions to address the minimum necessary specifications for NB-IoT and eMTC</w:t>
      </w:r>
      <w:r w:rsidR="002531F3">
        <w:rPr>
          <w:sz w:val="22"/>
          <w:szCs w:val="22"/>
          <w:lang w:val="en-US" w:eastAsia="ko-KR"/>
        </w:rPr>
        <w:t xml:space="preserve"> NTN</w:t>
      </w:r>
      <w:r>
        <w:rPr>
          <w:sz w:val="22"/>
          <w:szCs w:val="22"/>
          <w:lang w:val="en-US" w:eastAsia="ko-KR"/>
        </w:rPr>
        <w:t xml:space="preserve">. One of the objectives which is related to RAN1 is to </w:t>
      </w:r>
      <w:r w:rsidRPr="00A72B07">
        <w:rPr>
          <w:sz w:val="22"/>
          <w:szCs w:val="22"/>
          <w:lang w:val="en-US" w:eastAsia="ko-KR"/>
        </w:rPr>
        <w:t>study and recommend necessary changes to support NB-IoT and eMTC over satellite, reusing as much as possible the conclusions of the studies performed for NR NTN in TR38.821</w:t>
      </w:r>
      <w:r>
        <w:rPr>
          <w:sz w:val="22"/>
          <w:szCs w:val="22"/>
          <w:lang w:val="en-US" w:eastAsia="ko-KR"/>
        </w:rPr>
        <w:t xml:space="preserve"> </w:t>
      </w:r>
      <w:r w:rsidR="00713F95">
        <w:rPr>
          <w:sz w:val="22"/>
          <w:szCs w:val="22"/>
          <w:lang w:val="en-US" w:eastAsia="ko-KR"/>
        </w:rPr>
        <w:t xml:space="preserve">[2] </w:t>
      </w:r>
      <w:r>
        <w:rPr>
          <w:sz w:val="22"/>
          <w:szCs w:val="22"/>
          <w:lang w:val="en-US" w:eastAsia="ko-KR"/>
        </w:rPr>
        <w:t>including the following items.</w:t>
      </w:r>
    </w:p>
    <w:p w14:paraId="606D3037"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Aspects related to random access procedure/signals</w:t>
      </w:r>
    </w:p>
    <w:p w14:paraId="57DFA8CA"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Mechanisms for time/frequency adjustment including Timing Advance, and UL frequency compensation indication</w:t>
      </w:r>
    </w:p>
    <w:p w14:paraId="3A5B3310"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Timing offset related to scheduling and HARQ-ACK feedback</w:t>
      </w:r>
    </w:p>
    <w:p w14:paraId="57C2B2F2" w14:textId="77777777" w:rsidR="00193AEA" w:rsidRPr="00D02073"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Aspects related to HARQ operation</w:t>
      </w:r>
    </w:p>
    <w:p w14:paraId="6357C85A" w14:textId="6CEB7264" w:rsidR="00193AEA" w:rsidRPr="000B4ADF" w:rsidRDefault="00193AEA" w:rsidP="00193AEA">
      <w:pPr>
        <w:snapToGrid w:val="0"/>
        <w:spacing w:before="240" w:after="120"/>
        <w:ind w:right="-99"/>
        <w:jc w:val="both"/>
        <w:rPr>
          <w:sz w:val="22"/>
          <w:szCs w:val="22"/>
          <w:lang w:eastAsia="ko-KR"/>
        </w:rPr>
      </w:pPr>
      <w:r>
        <w:rPr>
          <w:sz w:val="22"/>
          <w:szCs w:val="22"/>
          <w:lang w:eastAsia="ko-KR"/>
        </w:rPr>
        <w:t xml:space="preserve">In this contribution </w:t>
      </w:r>
      <w:r w:rsidR="00B8321A">
        <w:rPr>
          <w:sz w:val="22"/>
          <w:szCs w:val="22"/>
          <w:lang w:eastAsia="ko-KR"/>
        </w:rPr>
        <w:t>enhancements to timing relationship</w:t>
      </w:r>
      <w:r>
        <w:rPr>
          <w:sz w:val="22"/>
          <w:szCs w:val="22"/>
          <w:lang w:eastAsia="ko-KR"/>
        </w:rPr>
        <w:t xml:space="preserve"> for </w:t>
      </w:r>
      <w:r w:rsidRPr="005C3FE0">
        <w:rPr>
          <w:sz w:val="22"/>
          <w:szCs w:val="22"/>
          <w:lang w:val="en-US" w:eastAsia="ko-KR"/>
        </w:rPr>
        <w:t>NB-Io</w:t>
      </w:r>
      <w:r>
        <w:rPr>
          <w:sz w:val="22"/>
          <w:szCs w:val="22"/>
          <w:lang w:val="en-US" w:eastAsia="ko-KR"/>
        </w:rPr>
        <w:t>T</w:t>
      </w:r>
      <w:r w:rsidRPr="005C3FE0">
        <w:rPr>
          <w:sz w:val="22"/>
          <w:szCs w:val="22"/>
          <w:lang w:val="en-US" w:eastAsia="ko-KR"/>
        </w:rPr>
        <w:t xml:space="preserve">/eMTC </w:t>
      </w:r>
      <w:r>
        <w:rPr>
          <w:sz w:val="22"/>
          <w:szCs w:val="22"/>
          <w:lang w:val="en-US" w:eastAsia="ko-KR"/>
        </w:rPr>
        <w:t xml:space="preserve">to </w:t>
      </w:r>
      <w:r w:rsidRPr="005C3FE0">
        <w:rPr>
          <w:sz w:val="22"/>
          <w:szCs w:val="22"/>
          <w:lang w:val="en-US" w:eastAsia="ko-KR"/>
        </w:rPr>
        <w:t xml:space="preserve">support </w:t>
      </w:r>
      <w:r>
        <w:rPr>
          <w:sz w:val="22"/>
          <w:szCs w:val="22"/>
          <w:lang w:val="en-US" w:eastAsia="ko-KR"/>
        </w:rPr>
        <w:t>NTN are discussed</w:t>
      </w:r>
      <w:r>
        <w:rPr>
          <w:sz w:val="22"/>
          <w:szCs w:val="22"/>
          <w:lang w:eastAsia="ko-KR"/>
        </w:rPr>
        <w:t xml:space="preserve">.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1CE4BA55" w14:textId="113217E9" w:rsidR="00332110" w:rsidRDefault="00657EDE" w:rsidP="00E341CE">
      <w:pPr>
        <w:spacing w:before="240" w:after="240"/>
        <w:jc w:val="both"/>
        <w:rPr>
          <w:i/>
        </w:rPr>
      </w:pPr>
      <w:r>
        <w:rPr>
          <w:iCs/>
          <w:sz w:val="22"/>
          <w:szCs w:val="22"/>
        </w:rPr>
        <w:t>At the last RAN1 meeting the following agreement</w:t>
      </w:r>
      <w:r w:rsidR="00CD0C90">
        <w:rPr>
          <w:iCs/>
          <w:sz w:val="22"/>
          <w:szCs w:val="22"/>
        </w:rPr>
        <w:t>s on timing relationships</w:t>
      </w:r>
      <w:r>
        <w:rPr>
          <w:iCs/>
          <w:sz w:val="22"/>
          <w:szCs w:val="22"/>
        </w:rPr>
        <w:t xml:space="preserve"> w</w:t>
      </w:r>
      <w:r w:rsidR="00CD0C90">
        <w:rPr>
          <w:iCs/>
          <w:sz w:val="22"/>
          <w:szCs w:val="22"/>
        </w:rPr>
        <w:t>ere</w:t>
      </w:r>
      <w:r>
        <w:rPr>
          <w:iCs/>
          <w:sz w:val="22"/>
          <w:szCs w:val="22"/>
        </w:rPr>
        <w:t xml:space="preserve"> made</w:t>
      </w:r>
      <w:r w:rsidR="00906769">
        <w:rPr>
          <w:iCs/>
          <w:sz w:val="22"/>
          <w:szCs w:val="22"/>
        </w:rPr>
        <w:t xml:space="preserve"> for NB-IoT and eMTC</w:t>
      </w:r>
      <w:r>
        <w:rPr>
          <w:iCs/>
          <w:sz w:val="22"/>
          <w:szCs w:val="22"/>
        </w:rPr>
        <w:t xml:space="preserve"> [3].</w:t>
      </w:r>
    </w:p>
    <w:tbl>
      <w:tblPr>
        <w:tblStyle w:val="TableGrid"/>
        <w:tblW w:w="0" w:type="auto"/>
        <w:tblLook w:val="04A0" w:firstRow="1" w:lastRow="0" w:firstColumn="1" w:lastColumn="0" w:noHBand="0" w:noVBand="1"/>
      </w:tblPr>
      <w:tblGrid>
        <w:gridCol w:w="10160"/>
      </w:tblGrid>
      <w:tr w:rsidR="00914189" w14:paraId="367EE699" w14:textId="77777777" w:rsidTr="00914189">
        <w:tc>
          <w:tcPr>
            <w:tcW w:w="10160" w:type="dxa"/>
          </w:tcPr>
          <w:p w14:paraId="2DD5F084" w14:textId="77777777" w:rsidR="00914189" w:rsidRPr="00914189" w:rsidRDefault="00914189" w:rsidP="00914189">
            <w:pPr>
              <w:overflowPunct/>
              <w:autoSpaceDE/>
              <w:autoSpaceDN/>
              <w:adjustRightInd/>
              <w:spacing w:after="0"/>
              <w:textAlignment w:val="auto"/>
              <w:rPr>
                <w:rFonts w:ascii="Times" w:eastAsia="Batang" w:hAnsi="Times"/>
                <w:szCs w:val="24"/>
                <w:lang w:eastAsia="x-none"/>
              </w:rPr>
            </w:pPr>
            <w:r w:rsidRPr="00914189">
              <w:rPr>
                <w:rFonts w:ascii="Times" w:eastAsia="Batang" w:hAnsi="Times"/>
                <w:szCs w:val="24"/>
                <w:highlight w:val="green"/>
                <w:lang w:eastAsia="x-none"/>
              </w:rPr>
              <w:t>Agreement:</w:t>
            </w:r>
          </w:p>
          <w:p w14:paraId="0378C19D" w14:textId="77777777" w:rsidR="00914189" w:rsidRPr="00914189" w:rsidRDefault="00914189" w:rsidP="00914189">
            <w:pPr>
              <w:overflowPunct/>
              <w:autoSpaceDE/>
              <w:autoSpaceDN/>
              <w:adjustRightInd/>
              <w:spacing w:after="0"/>
              <w:textAlignment w:val="auto"/>
              <w:rPr>
                <w:rFonts w:ascii="Times" w:eastAsia="Batang" w:hAnsi="Times"/>
                <w:szCs w:val="24"/>
                <w:lang w:eastAsia="x-none"/>
              </w:rPr>
            </w:pPr>
            <w:r w:rsidRPr="00914189">
              <w:rPr>
                <w:rFonts w:ascii="Times" w:eastAsia="Batang" w:hAnsi="Times"/>
                <w:szCs w:val="24"/>
                <w:lang w:eastAsia="x-none"/>
              </w:rPr>
              <w:t xml:space="preserve">For NB-IoT over NTN, at least the following timing relationships need to be studied individually for checking whether enhancement is necessary and beneficial: </w:t>
            </w:r>
          </w:p>
          <w:p w14:paraId="4AA8465A" w14:textId="77777777" w:rsidR="00914189" w:rsidRPr="00914189" w:rsidRDefault="00914189" w:rsidP="00914189">
            <w:pPr>
              <w:numPr>
                <w:ilvl w:val="0"/>
                <w:numId w:val="36"/>
              </w:numPr>
              <w:overflowPunct/>
              <w:autoSpaceDE/>
              <w:autoSpaceDN/>
              <w:adjustRightInd/>
              <w:spacing w:after="0"/>
              <w:textAlignment w:val="auto"/>
              <w:rPr>
                <w:rFonts w:ascii="Times" w:eastAsia="Batang" w:hAnsi="Times"/>
                <w:szCs w:val="24"/>
                <w:lang w:eastAsia="x-none"/>
              </w:rPr>
            </w:pPr>
            <w:bookmarkStart w:id="0" w:name="_Hlk68607892"/>
            <w:r w:rsidRPr="00914189">
              <w:rPr>
                <w:rFonts w:ascii="Times" w:eastAsia="Batang" w:hAnsi="Times"/>
                <w:szCs w:val="24"/>
                <w:lang w:eastAsia="x-none"/>
              </w:rPr>
              <w:t xml:space="preserve">NPDCCH to NPUSCH format 1 </w:t>
            </w:r>
          </w:p>
          <w:p w14:paraId="349FCBE1" w14:textId="77777777" w:rsidR="00914189" w:rsidRPr="00914189" w:rsidRDefault="00914189" w:rsidP="00914189">
            <w:pPr>
              <w:numPr>
                <w:ilvl w:val="0"/>
                <w:numId w:val="36"/>
              </w:numPr>
              <w:overflowPunct/>
              <w:autoSpaceDE/>
              <w:autoSpaceDN/>
              <w:adjustRightInd/>
              <w:spacing w:after="0"/>
              <w:textAlignment w:val="auto"/>
              <w:rPr>
                <w:rFonts w:ascii="Times" w:eastAsia="Batang" w:hAnsi="Times"/>
                <w:szCs w:val="24"/>
                <w:lang w:eastAsia="x-none"/>
              </w:rPr>
            </w:pPr>
            <w:bookmarkStart w:id="1" w:name="_Hlk68607941"/>
            <w:bookmarkEnd w:id="0"/>
            <w:r w:rsidRPr="00914189">
              <w:rPr>
                <w:rFonts w:ascii="Times" w:eastAsia="Batang" w:hAnsi="Times"/>
                <w:szCs w:val="24"/>
                <w:lang w:eastAsia="x-none"/>
              </w:rPr>
              <w:t xml:space="preserve">RAR grant to NPUSCH format 1 </w:t>
            </w:r>
          </w:p>
          <w:bookmarkEnd w:id="1"/>
          <w:p w14:paraId="715D40C4" w14:textId="77777777" w:rsidR="00914189" w:rsidRPr="00914189" w:rsidRDefault="00914189" w:rsidP="00914189">
            <w:pPr>
              <w:numPr>
                <w:ilvl w:val="0"/>
                <w:numId w:val="36"/>
              </w:numPr>
              <w:overflowPunct/>
              <w:autoSpaceDE/>
              <w:autoSpaceDN/>
              <w:adjustRightInd/>
              <w:spacing w:after="0"/>
              <w:textAlignment w:val="auto"/>
              <w:rPr>
                <w:rFonts w:ascii="Times" w:eastAsia="Batang" w:hAnsi="Times"/>
                <w:szCs w:val="24"/>
                <w:lang w:eastAsia="x-none"/>
              </w:rPr>
            </w:pPr>
            <w:r w:rsidRPr="00914189">
              <w:rPr>
                <w:rFonts w:ascii="Times" w:eastAsia="Batang" w:hAnsi="Times"/>
                <w:szCs w:val="24"/>
                <w:lang w:eastAsia="x-none"/>
              </w:rPr>
              <w:t xml:space="preserve">NPDSCH to HARQ-ACK on NPUSCH format 2 </w:t>
            </w:r>
          </w:p>
          <w:p w14:paraId="218A8ABA" w14:textId="77777777" w:rsidR="00914189" w:rsidRPr="00914189" w:rsidRDefault="00914189" w:rsidP="00914189">
            <w:pPr>
              <w:numPr>
                <w:ilvl w:val="0"/>
                <w:numId w:val="36"/>
              </w:numPr>
              <w:overflowPunct/>
              <w:autoSpaceDE/>
              <w:autoSpaceDN/>
              <w:adjustRightInd/>
              <w:spacing w:after="0"/>
              <w:textAlignment w:val="auto"/>
              <w:rPr>
                <w:rFonts w:ascii="Times" w:eastAsia="Batang" w:hAnsi="Times"/>
                <w:szCs w:val="24"/>
                <w:lang w:eastAsia="x-none"/>
              </w:rPr>
            </w:pPr>
            <w:r w:rsidRPr="00914189">
              <w:rPr>
                <w:rFonts w:ascii="Times" w:eastAsia="Batang" w:hAnsi="Times"/>
                <w:szCs w:val="24"/>
                <w:lang w:eastAsia="x-none"/>
              </w:rPr>
              <w:t xml:space="preserve">NPDCCH order to NPRACH </w:t>
            </w:r>
          </w:p>
          <w:p w14:paraId="5AF8CE38" w14:textId="77777777" w:rsidR="00914189" w:rsidRPr="00914189" w:rsidRDefault="00914189" w:rsidP="00914189">
            <w:pPr>
              <w:numPr>
                <w:ilvl w:val="0"/>
                <w:numId w:val="36"/>
              </w:numPr>
              <w:overflowPunct/>
              <w:autoSpaceDE/>
              <w:autoSpaceDN/>
              <w:adjustRightInd/>
              <w:spacing w:after="0"/>
              <w:textAlignment w:val="auto"/>
              <w:rPr>
                <w:rFonts w:ascii="Times" w:eastAsia="Batang" w:hAnsi="Times"/>
                <w:szCs w:val="24"/>
                <w:lang w:eastAsia="x-none"/>
              </w:rPr>
            </w:pPr>
            <w:r w:rsidRPr="00914189">
              <w:rPr>
                <w:rFonts w:ascii="Times" w:eastAsia="Batang" w:hAnsi="Times"/>
                <w:szCs w:val="24"/>
                <w:lang w:eastAsia="x-none"/>
              </w:rPr>
              <w:t>Timing advance command activation</w:t>
            </w:r>
          </w:p>
          <w:p w14:paraId="6D238A8E" w14:textId="1BEA2338" w:rsidR="00914189" w:rsidRPr="00914189" w:rsidRDefault="00914189" w:rsidP="00914189">
            <w:pPr>
              <w:numPr>
                <w:ilvl w:val="0"/>
                <w:numId w:val="36"/>
              </w:numPr>
              <w:overflowPunct/>
              <w:autoSpaceDE/>
              <w:autoSpaceDN/>
              <w:adjustRightInd/>
              <w:spacing w:after="0"/>
              <w:textAlignment w:val="auto"/>
              <w:rPr>
                <w:rFonts w:ascii="Times" w:eastAsia="Batang" w:hAnsi="Times"/>
                <w:szCs w:val="24"/>
                <w:lang w:eastAsia="x-none"/>
              </w:rPr>
            </w:pPr>
            <w:r w:rsidRPr="00914189">
              <w:rPr>
                <w:rFonts w:ascii="Times" w:eastAsia="Batang" w:hAnsi="Times"/>
                <w:szCs w:val="24"/>
                <w:lang w:eastAsia="x-none"/>
              </w:rPr>
              <w:t>FFS: Other NB-IoT timing relationships</w:t>
            </w:r>
          </w:p>
          <w:p w14:paraId="078768F8" w14:textId="77777777" w:rsidR="00914189" w:rsidRPr="00914189" w:rsidRDefault="00914189" w:rsidP="00914189">
            <w:pPr>
              <w:overflowPunct/>
              <w:autoSpaceDE/>
              <w:autoSpaceDN/>
              <w:adjustRightInd/>
              <w:spacing w:after="0"/>
              <w:textAlignment w:val="auto"/>
              <w:rPr>
                <w:rFonts w:ascii="Times" w:eastAsia="Batang" w:hAnsi="Times"/>
                <w:szCs w:val="24"/>
                <w:lang w:eastAsia="x-none"/>
              </w:rPr>
            </w:pPr>
            <w:r w:rsidRPr="00914189">
              <w:rPr>
                <w:rFonts w:ascii="Times" w:eastAsia="Batang" w:hAnsi="Times"/>
                <w:szCs w:val="24"/>
                <w:highlight w:val="green"/>
                <w:lang w:eastAsia="x-none"/>
              </w:rPr>
              <w:t>Agreement:</w:t>
            </w:r>
          </w:p>
          <w:p w14:paraId="70D29D79" w14:textId="77777777" w:rsidR="00914189" w:rsidRPr="00914189" w:rsidRDefault="00914189" w:rsidP="00914189">
            <w:pPr>
              <w:overflowPunct/>
              <w:autoSpaceDE/>
              <w:autoSpaceDN/>
              <w:adjustRightInd/>
              <w:spacing w:after="0"/>
              <w:textAlignment w:val="auto"/>
              <w:rPr>
                <w:rFonts w:ascii="Times" w:eastAsia="Batang" w:hAnsi="Times"/>
                <w:szCs w:val="24"/>
                <w:lang w:val="en-US" w:eastAsia="x-none"/>
              </w:rPr>
            </w:pPr>
            <w:r w:rsidRPr="00914189">
              <w:rPr>
                <w:rFonts w:ascii="Times" w:eastAsia="Batang" w:hAnsi="Times"/>
                <w:szCs w:val="24"/>
                <w:lang w:val="en-US" w:eastAsia="x-none"/>
              </w:rPr>
              <w:t>For eMTC over NTN, at least the following timing relationships can be studied individually for checking whether enhancement is necessary and beneficial:</w:t>
            </w:r>
          </w:p>
          <w:p w14:paraId="5AF031AD" w14:textId="77777777" w:rsidR="00914189" w:rsidRPr="00914189" w:rsidRDefault="00914189" w:rsidP="00914189">
            <w:pPr>
              <w:numPr>
                <w:ilvl w:val="0"/>
                <w:numId w:val="37"/>
              </w:numPr>
              <w:overflowPunct/>
              <w:autoSpaceDE/>
              <w:autoSpaceDN/>
              <w:adjustRightInd/>
              <w:spacing w:after="0"/>
              <w:textAlignment w:val="auto"/>
              <w:rPr>
                <w:rFonts w:ascii="Times" w:eastAsia="Batang" w:hAnsi="Times"/>
                <w:szCs w:val="24"/>
                <w:lang w:val="en-US" w:eastAsia="x-none"/>
              </w:rPr>
            </w:pPr>
            <w:r w:rsidRPr="00914189">
              <w:rPr>
                <w:rFonts w:ascii="Times" w:eastAsia="Batang" w:hAnsi="Times"/>
                <w:szCs w:val="24"/>
                <w:lang w:val="en-US" w:eastAsia="x-none"/>
              </w:rPr>
              <w:lastRenderedPageBreak/>
              <w:t xml:space="preserve">MPDCCH to PUSCH </w:t>
            </w:r>
          </w:p>
          <w:p w14:paraId="4BAEAA77" w14:textId="77777777" w:rsidR="00914189" w:rsidRPr="00914189" w:rsidRDefault="00914189" w:rsidP="00914189">
            <w:pPr>
              <w:numPr>
                <w:ilvl w:val="0"/>
                <w:numId w:val="37"/>
              </w:numPr>
              <w:overflowPunct/>
              <w:autoSpaceDE/>
              <w:autoSpaceDN/>
              <w:adjustRightInd/>
              <w:spacing w:after="0"/>
              <w:textAlignment w:val="auto"/>
              <w:rPr>
                <w:rFonts w:ascii="Times" w:eastAsia="Batang" w:hAnsi="Times"/>
                <w:szCs w:val="24"/>
                <w:lang w:val="en-US" w:eastAsia="x-none"/>
              </w:rPr>
            </w:pPr>
            <w:r w:rsidRPr="00914189">
              <w:rPr>
                <w:rFonts w:ascii="Times" w:eastAsia="Batang" w:hAnsi="Times"/>
                <w:szCs w:val="24"/>
                <w:lang w:val="en-US" w:eastAsia="x-none"/>
              </w:rPr>
              <w:t xml:space="preserve">RAR grant to PUSCH </w:t>
            </w:r>
          </w:p>
          <w:p w14:paraId="06CE714C" w14:textId="77777777" w:rsidR="00914189" w:rsidRPr="00914189" w:rsidRDefault="00914189" w:rsidP="00914189">
            <w:pPr>
              <w:numPr>
                <w:ilvl w:val="0"/>
                <w:numId w:val="37"/>
              </w:numPr>
              <w:overflowPunct/>
              <w:autoSpaceDE/>
              <w:autoSpaceDN/>
              <w:adjustRightInd/>
              <w:spacing w:after="0"/>
              <w:textAlignment w:val="auto"/>
              <w:rPr>
                <w:rFonts w:ascii="Times" w:eastAsia="Batang" w:hAnsi="Times"/>
                <w:szCs w:val="24"/>
                <w:lang w:val="en-US" w:eastAsia="x-none"/>
              </w:rPr>
            </w:pPr>
            <w:r w:rsidRPr="00914189">
              <w:rPr>
                <w:rFonts w:ascii="Times" w:eastAsia="Batang" w:hAnsi="Times"/>
                <w:szCs w:val="24"/>
                <w:lang w:val="en-US" w:eastAsia="x-none"/>
              </w:rPr>
              <w:t xml:space="preserve">PDCCH order to PRACH </w:t>
            </w:r>
          </w:p>
          <w:p w14:paraId="38DD30D3" w14:textId="77777777" w:rsidR="00914189" w:rsidRPr="00914189" w:rsidRDefault="00914189" w:rsidP="00914189">
            <w:pPr>
              <w:numPr>
                <w:ilvl w:val="0"/>
                <w:numId w:val="37"/>
              </w:numPr>
              <w:overflowPunct/>
              <w:autoSpaceDE/>
              <w:autoSpaceDN/>
              <w:adjustRightInd/>
              <w:spacing w:after="0"/>
              <w:textAlignment w:val="auto"/>
              <w:rPr>
                <w:rFonts w:ascii="Times" w:eastAsia="Batang" w:hAnsi="Times"/>
                <w:szCs w:val="24"/>
                <w:lang w:val="en-US" w:eastAsia="x-none"/>
              </w:rPr>
            </w:pPr>
            <w:r w:rsidRPr="00914189">
              <w:rPr>
                <w:rFonts w:ascii="Times" w:eastAsia="Batang" w:hAnsi="Times"/>
                <w:szCs w:val="24"/>
                <w:lang w:val="en-US" w:eastAsia="x-none"/>
              </w:rPr>
              <w:t xml:space="preserve">MPDCCH to scheduled uplink SPS </w:t>
            </w:r>
          </w:p>
          <w:p w14:paraId="18A6DBAE" w14:textId="77777777" w:rsidR="00914189" w:rsidRPr="00914189" w:rsidRDefault="00914189" w:rsidP="00914189">
            <w:pPr>
              <w:numPr>
                <w:ilvl w:val="0"/>
                <w:numId w:val="37"/>
              </w:numPr>
              <w:overflowPunct/>
              <w:autoSpaceDE/>
              <w:autoSpaceDN/>
              <w:adjustRightInd/>
              <w:spacing w:after="0"/>
              <w:textAlignment w:val="auto"/>
              <w:rPr>
                <w:rFonts w:ascii="Times" w:eastAsia="Batang" w:hAnsi="Times"/>
                <w:szCs w:val="24"/>
                <w:lang w:val="en-US" w:eastAsia="x-none"/>
              </w:rPr>
            </w:pPr>
            <w:r w:rsidRPr="00914189">
              <w:rPr>
                <w:rFonts w:ascii="Times" w:eastAsia="Batang" w:hAnsi="Times"/>
                <w:szCs w:val="24"/>
                <w:lang w:val="en-US" w:eastAsia="x-none"/>
              </w:rPr>
              <w:t xml:space="preserve">PUSCH to HARQ-ACK on PUCCH </w:t>
            </w:r>
          </w:p>
          <w:p w14:paraId="5446718F" w14:textId="77777777" w:rsidR="00914189" w:rsidRPr="00914189" w:rsidRDefault="00914189" w:rsidP="00914189">
            <w:pPr>
              <w:numPr>
                <w:ilvl w:val="0"/>
                <w:numId w:val="37"/>
              </w:numPr>
              <w:overflowPunct/>
              <w:autoSpaceDE/>
              <w:autoSpaceDN/>
              <w:adjustRightInd/>
              <w:spacing w:after="0"/>
              <w:textAlignment w:val="auto"/>
              <w:rPr>
                <w:rFonts w:ascii="Times" w:eastAsia="Batang" w:hAnsi="Times"/>
                <w:szCs w:val="24"/>
                <w:lang w:val="en-US" w:eastAsia="x-none"/>
              </w:rPr>
            </w:pPr>
            <w:r w:rsidRPr="00914189">
              <w:rPr>
                <w:rFonts w:ascii="Times" w:eastAsia="Batang" w:hAnsi="Times"/>
                <w:szCs w:val="24"/>
                <w:lang w:val="en-US" w:eastAsia="x-none"/>
              </w:rPr>
              <w:t xml:space="preserve">CSI reference resource timing </w:t>
            </w:r>
          </w:p>
          <w:p w14:paraId="2D7F6280" w14:textId="77777777" w:rsidR="00914189" w:rsidRPr="00914189" w:rsidRDefault="00914189" w:rsidP="00914189">
            <w:pPr>
              <w:numPr>
                <w:ilvl w:val="0"/>
                <w:numId w:val="37"/>
              </w:numPr>
              <w:overflowPunct/>
              <w:autoSpaceDE/>
              <w:autoSpaceDN/>
              <w:adjustRightInd/>
              <w:spacing w:after="0"/>
              <w:textAlignment w:val="auto"/>
              <w:rPr>
                <w:rFonts w:ascii="Times" w:eastAsia="Batang" w:hAnsi="Times"/>
                <w:szCs w:val="24"/>
                <w:lang w:val="en-US" w:eastAsia="x-none"/>
              </w:rPr>
            </w:pPr>
            <w:r w:rsidRPr="00914189">
              <w:rPr>
                <w:rFonts w:ascii="Times" w:eastAsia="Batang" w:hAnsi="Times"/>
                <w:szCs w:val="24"/>
                <w:lang w:val="en-US" w:eastAsia="x-none"/>
              </w:rPr>
              <w:t xml:space="preserve">MPDCCH to aperiodic SRS </w:t>
            </w:r>
          </w:p>
          <w:p w14:paraId="0AF2A364" w14:textId="77777777" w:rsidR="00914189" w:rsidRPr="00914189" w:rsidRDefault="00914189" w:rsidP="00914189">
            <w:pPr>
              <w:numPr>
                <w:ilvl w:val="0"/>
                <w:numId w:val="37"/>
              </w:numPr>
              <w:overflowPunct/>
              <w:autoSpaceDE/>
              <w:autoSpaceDN/>
              <w:adjustRightInd/>
              <w:spacing w:after="0"/>
              <w:textAlignment w:val="auto"/>
              <w:rPr>
                <w:rFonts w:ascii="Times" w:eastAsia="Batang" w:hAnsi="Times"/>
                <w:szCs w:val="24"/>
                <w:lang w:val="en-US" w:eastAsia="x-none"/>
              </w:rPr>
            </w:pPr>
            <w:r w:rsidRPr="00914189">
              <w:rPr>
                <w:rFonts w:ascii="Times" w:eastAsia="Batang" w:hAnsi="Times"/>
                <w:szCs w:val="24"/>
                <w:lang w:val="en-US" w:eastAsia="x-none"/>
              </w:rPr>
              <w:t>Timing advance command activation</w:t>
            </w:r>
          </w:p>
          <w:p w14:paraId="3C2D7218" w14:textId="26FD6FD0" w:rsidR="00914189" w:rsidRPr="00914189" w:rsidRDefault="00914189" w:rsidP="00914189">
            <w:pPr>
              <w:numPr>
                <w:ilvl w:val="0"/>
                <w:numId w:val="37"/>
              </w:numPr>
              <w:overflowPunct/>
              <w:autoSpaceDE/>
              <w:autoSpaceDN/>
              <w:adjustRightInd/>
              <w:textAlignment w:val="auto"/>
              <w:rPr>
                <w:rFonts w:ascii="Times" w:eastAsia="Batang" w:hAnsi="Times"/>
                <w:b/>
                <w:bCs/>
                <w:szCs w:val="24"/>
                <w:lang w:val="en-US" w:eastAsia="x-none"/>
              </w:rPr>
            </w:pPr>
            <w:r w:rsidRPr="00914189">
              <w:rPr>
                <w:rFonts w:ascii="Times" w:eastAsia="Batang" w:hAnsi="Times"/>
                <w:szCs w:val="24"/>
                <w:lang w:val="en-US" w:eastAsia="x-none"/>
              </w:rPr>
              <w:t>FFS: Other eMTC timing relationships</w:t>
            </w:r>
          </w:p>
        </w:tc>
      </w:tr>
    </w:tbl>
    <w:p w14:paraId="4DA07450" w14:textId="18AB4C4B" w:rsidR="00A74E4E" w:rsidRDefault="00A1107F" w:rsidP="00E341CE">
      <w:pPr>
        <w:spacing w:before="240" w:after="240"/>
        <w:jc w:val="both"/>
        <w:rPr>
          <w:iCs/>
          <w:sz w:val="22"/>
          <w:szCs w:val="22"/>
          <w:lang w:val="en-US"/>
        </w:rPr>
      </w:pPr>
      <w:r>
        <w:rPr>
          <w:iCs/>
          <w:sz w:val="22"/>
          <w:szCs w:val="22"/>
          <w:lang w:val="en-US"/>
        </w:rPr>
        <w:lastRenderedPageBreak/>
        <w:t xml:space="preserve">In order to understand whether specification enhancements for timing relationships are needed study of the existing LTE specification </w:t>
      </w:r>
      <w:r w:rsidR="00EB1495">
        <w:rPr>
          <w:iCs/>
          <w:sz w:val="22"/>
          <w:szCs w:val="22"/>
          <w:lang w:val="en-US"/>
        </w:rPr>
        <w:t>is requiered</w:t>
      </w:r>
      <w:r>
        <w:rPr>
          <w:iCs/>
          <w:sz w:val="22"/>
          <w:szCs w:val="22"/>
          <w:lang w:val="en-US"/>
        </w:rPr>
        <w:t xml:space="preserve">. </w:t>
      </w:r>
      <w:r w:rsidR="00A74E4E">
        <w:rPr>
          <w:iCs/>
          <w:sz w:val="22"/>
          <w:szCs w:val="22"/>
          <w:lang w:val="en-US"/>
        </w:rPr>
        <w:t>The definition of UL-DL timing for LTE is provided in TS 36.211 [4] (captured below).</w:t>
      </w:r>
    </w:p>
    <w:tbl>
      <w:tblPr>
        <w:tblStyle w:val="TableGrid"/>
        <w:tblW w:w="0" w:type="auto"/>
        <w:tblLook w:val="04A0" w:firstRow="1" w:lastRow="0" w:firstColumn="1" w:lastColumn="0" w:noHBand="0" w:noVBand="1"/>
      </w:tblPr>
      <w:tblGrid>
        <w:gridCol w:w="10160"/>
      </w:tblGrid>
      <w:tr w:rsidR="00A74E4E" w14:paraId="7A193D4C" w14:textId="77777777" w:rsidTr="00A74E4E">
        <w:tc>
          <w:tcPr>
            <w:tcW w:w="10160" w:type="dxa"/>
          </w:tcPr>
          <w:p w14:paraId="7E991F89" w14:textId="77777777" w:rsidR="00A74E4E" w:rsidRPr="00A74E4E" w:rsidRDefault="00A74E4E" w:rsidP="00A74E4E">
            <w:pPr>
              <w:overflowPunct/>
              <w:autoSpaceDE/>
              <w:autoSpaceDN/>
              <w:adjustRightInd/>
              <w:textAlignment w:val="auto"/>
              <w:rPr>
                <w:rFonts w:eastAsia="Times New Roman"/>
              </w:rPr>
            </w:pPr>
            <w:r w:rsidRPr="00A74E4E">
              <w:rPr>
                <w:rFonts w:eastAsia="Times New Roman"/>
              </w:rPr>
              <w:t xml:space="preserve">Transmission of the uplink radio frame number </w:t>
            </w:r>
            <w:r w:rsidRPr="00A74E4E">
              <w:rPr>
                <w:rFonts w:eastAsia="Times New Roman"/>
                <w:position w:val="-6"/>
              </w:rPr>
              <w:object w:dxaOrig="139" w:dyaOrig="240" w14:anchorId="52EF7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pt;height:12pt" o:ole="">
                  <v:imagedata r:id="rId11" o:title=""/>
                </v:shape>
                <o:OLEObject Type="Embed" ProgID="Equation.3" ShapeID="_x0000_i1025" DrawAspect="Content" ObjectID="_1679289109" r:id="rId12"/>
              </w:object>
            </w:r>
            <w:r w:rsidRPr="00A74E4E">
              <w:rPr>
                <w:rFonts w:eastAsia="Times New Roman"/>
              </w:rPr>
              <w:t xml:space="preserve"> from the UE shall start </w:t>
            </w:r>
            <w:r w:rsidRPr="00A74E4E">
              <w:rPr>
                <w:rFonts w:eastAsia="Times New Roman"/>
                <w:position w:val="-10"/>
              </w:rPr>
              <w:object w:dxaOrig="1800" w:dyaOrig="300" w14:anchorId="473D5BF3">
                <v:shape id="_x0000_i1026" type="#_x0000_t75" style="width:90pt;height:15.25pt" o:ole="">
                  <v:imagedata r:id="rId13" o:title=""/>
                </v:shape>
                <o:OLEObject Type="Embed" ProgID="Equation.3" ShapeID="_x0000_i1026" DrawAspect="Content" ObjectID="_1679289110" r:id="rId14"/>
              </w:object>
            </w:r>
            <w:r w:rsidRPr="00A74E4E">
              <w:rPr>
                <w:rFonts w:eastAsia="Times New Roman"/>
              </w:rPr>
              <w:t xml:space="preserve"> seconds before the start of the corresponding downlink radio frame at the UE, </w:t>
            </w:r>
            <w:r w:rsidRPr="00A74E4E">
              <w:rPr>
                <w:rFonts w:eastAsia="Times New Roman" w:hint="eastAsia"/>
                <w:lang w:eastAsia="ko-KR"/>
              </w:rPr>
              <w:t>where</w:t>
            </w:r>
            <w:r w:rsidRPr="00A74E4E">
              <w:rPr>
                <w:rFonts w:eastAsia="Times New Roman"/>
                <w:lang w:eastAsia="ko-KR"/>
              </w:rPr>
              <w:t xml:space="preserve"> </w:t>
            </w:r>
            <w:r w:rsidRPr="00A74E4E">
              <w:rPr>
                <w:rFonts w:eastAsia="Times New Roman"/>
                <w:position w:val="-10"/>
                <w:lang w:eastAsia="ko-KR"/>
              </w:rPr>
              <w:object w:dxaOrig="1579" w:dyaOrig="340" w14:anchorId="17FD519F">
                <v:shape id="_x0000_i1027" type="#_x0000_t75" style="width:72.9pt;height:14.75pt" o:ole="">
                  <v:imagedata r:id="rId15" o:title=""/>
                </v:shape>
                <o:OLEObject Type="Embed" ProgID="Equation.3" ShapeID="_x0000_i1027" DrawAspect="Content" ObjectID="_1679289111" r:id="rId16"/>
              </w:object>
            </w:r>
            <w:r w:rsidRPr="00A74E4E">
              <w:rPr>
                <w:rFonts w:eastAsia="Times New Roman" w:hint="eastAsia"/>
                <w:lang w:eastAsia="ko-KR"/>
              </w:rPr>
              <w:t xml:space="preserve"> </w:t>
            </w:r>
            <w:r w:rsidRPr="00A74E4E">
              <w:rPr>
                <w:rFonts w:eastAsia="Times New Roman"/>
              </w:rPr>
              <w:t>if the UE is configured with a SCG</w:t>
            </w:r>
            <w:r w:rsidRPr="00A74E4E">
              <w:rPr>
                <w:rFonts w:eastAsia="Times New Roman"/>
                <w:lang w:eastAsia="ko-KR"/>
              </w:rPr>
              <w:t xml:space="preserve"> and</w:t>
            </w:r>
            <w:r w:rsidRPr="00A74E4E">
              <w:rPr>
                <w:rFonts w:eastAsia="Times New Roman" w:hint="eastAsia"/>
                <w:lang w:eastAsia="ko-KR"/>
              </w:rPr>
              <w:t xml:space="preserve"> </w:t>
            </w:r>
            <w:r w:rsidRPr="00A74E4E">
              <w:rPr>
                <w:rFonts w:eastAsia="Times New Roman"/>
                <w:position w:val="-10"/>
                <w:lang w:eastAsia="ko-KR"/>
              </w:rPr>
              <w:object w:dxaOrig="1460" w:dyaOrig="300" w14:anchorId="6C30FA28">
                <v:shape id="_x0000_i1028" type="#_x0000_t75" style="width:73.85pt;height:15.25pt" o:ole="">
                  <v:imagedata r:id="rId17" o:title=""/>
                </v:shape>
                <o:OLEObject Type="Embed" ProgID="Equation.3" ShapeID="_x0000_i1028" DrawAspect="Content" ObjectID="_1679289112" r:id="rId18"/>
              </w:object>
            </w:r>
            <w:r w:rsidRPr="00A74E4E">
              <w:rPr>
                <w:rFonts w:eastAsia="Times New Roman"/>
                <w:lang w:eastAsia="ko-KR"/>
              </w:rPr>
              <w:t xml:space="preserve"> otherwise.</w:t>
            </w:r>
            <w:r w:rsidRPr="00A74E4E">
              <w:rPr>
                <w:rFonts w:eastAsia="Times New Roman"/>
              </w:rPr>
              <w:t xml:space="preserve"> For frame structure type 1 </w:t>
            </w:r>
            <w:r w:rsidRPr="00A74E4E">
              <w:rPr>
                <w:rFonts w:eastAsia="Times New Roman"/>
                <w:position w:val="-10"/>
              </w:rPr>
              <w:object w:dxaOrig="1120" w:dyaOrig="300" w14:anchorId="2DF9AF9E">
                <v:shape id="_x0000_i1029" type="#_x0000_t75" style="width:55.4pt;height:15.25pt" o:ole="">
                  <v:imagedata r:id="rId19" o:title=""/>
                </v:shape>
                <o:OLEObject Type="Embed" ProgID="Equation.3" ShapeID="_x0000_i1029" DrawAspect="Content" ObjectID="_1679289113" r:id="rId20"/>
              </w:object>
            </w:r>
            <w:r w:rsidRPr="00A74E4E">
              <w:rPr>
                <w:rFonts w:eastAsia="Times New Roman"/>
              </w:rPr>
              <w:t xml:space="preserve"> and</w:t>
            </w:r>
            <w:r w:rsidRPr="00A74E4E" w:rsidDel="0076474D">
              <w:rPr>
                <w:rFonts w:eastAsia="Times New Roman"/>
              </w:rPr>
              <w:t xml:space="preserve"> </w:t>
            </w:r>
            <w:r w:rsidRPr="00A74E4E">
              <w:rPr>
                <w:rFonts w:eastAsia="Times New Roman"/>
              </w:rPr>
              <w:t xml:space="preserve">for frame structure type 2 </w:t>
            </w:r>
            <w:r w:rsidRPr="00A74E4E">
              <w:rPr>
                <w:rFonts w:eastAsia="Times New Roman"/>
                <w:position w:val="-10"/>
              </w:rPr>
              <w:object w:dxaOrig="1300" w:dyaOrig="300" w14:anchorId="5ED30734">
                <v:shape id="_x0000_i1030" type="#_x0000_t75" style="width:64.15pt;height:15.25pt" o:ole="">
                  <v:imagedata r:id="rId21" o:title=""/>
                </v:shape>
                <o:OLEObject Type="Embed" ProgID="Equation.3" ShapeID="_x0000_i1030" DrawAspect="Content" ObjectID="_1679289114" r:id="rId22"/>
              </w:object>
            </w:r>
            <w:r w:rsidRPr="00A74E4E">
              <w:rPr>
                <w:rFonts w:eastAsia="Times New Roman"/>
              </w:rPr>
              <w:t xml:space="preserve"> unless stated otherwise in [4]. Note that not all slots in a radio frame may be transmitted. One example hereof is TDD, where only a subset of the slots in a radio frame is transmitted.</w:t>
            </w:r>
          </w:p>
          <w:p w14:paraId="535BD34A" w14:textId="77777777" w:rsidR="00A74E4E" w:rsidRPr="00A74E4E" w:rsidRDefault="00A74E4E" w:rsidP="00A74E4E">
            <w:pPr>
              <w:overflowPunct/>
              <w:autoSpaceDE/>
              <w:autoSpaceDN/>
              <w:adjustRightInd/>
              <w:textAlignment w:val="auto"/>
              <w:rPr>
                <w:rFonts w:eastAsia="Times New Roman"/>
              </w:rPr>
            </w:pPr>
          </w:p>
          <w:p w14:paraId="04C595ED" w14:textId="77777777" w:rsidR="00A74E4E" w:rsidRPr="00A74E4E" w:rsidRDefault="00A74E4E" w:rsidP="00A74E4E">
            <w:pPr>
              <w:overflowPunct/>
              <w:autoSpaceDE/>
              <w:autoSpaceDN/>
              <w:adjustRightInd/>
              <w:jc w:val="center"/>
              <w:textAlignment w:val="auto"/>
              <w:rPr>
                <w:rFonts w:eastAsia="Times New Roman"/>
              </w:rPr>
            </w:pPr>
            <w:r w:rsidRPr="00A74E4E">
              <w:rPr>
                <w:rFonts w:eastAsia="Times New Roman"/>
              </w:rPr>
              <w:object w:dxaOrig="6744" w:dyaOrig="2214" w14:anchorId="60C848AE">
                <v:shape id="_x0000_i1031" type="#_x0000_t75" style="width:270.9pt;height:90pt" o:ole="">
                  <v:imagedata r:id="rId23" o:title=""/>
                </v:shape>
                <o:OLEObject Type="Embed" ProgID="Visio.Drawing.11" ShapeID="_x0000_i1031" DrawAspect="Content" ObjectID="_1679289115" r:id="rId24"/>
              </w:object>
            </w:r>
          </w:p>
          <w:p w14:paraId="6A7DE078" w14:textId="123C6AE1" w:rsidR="00A74E4E" w:rsidRPr="00A74E4E" w:rsidRDefault="00A74E4E" w:rsidP="00A74E4E">
            <w:pPr>
              <w:keepLines/>
              <w:overflowPunct/>
              <w:autoSpaceDE/>
              <w:autoSpaceDN/>
              <w:adjustRightInd/>
              <w:spacing w:after="240"/>
              <w:jc w:val="center"/>
              <w:textAlignment w:val="auto"/>
              <w:rPr>
                <w:rFonts w:ascii="Arial" w:eastAsia="Times New Roman" w:hAnsi="Arial"/>
                <w:b/>
              </w:rPr>
            </w:pPr>
            <w:r w:rsidRPr="00A74E4E">
              <w:rPr>
                <w:rFonts w:ascii="Arial" w:eastAsia="Times New Roman" w:hAnsi="Arial"/>
                <w:b/>
              </w:rPr>
              <w:t>Figure 8.1-1: Uplink-downlink timing relation</w:t>
            </w:r>
          </w:p>
        </w:tc>
      </w:tr>
    </w:tbl>
    <w:p w14:paraId="0A4D3EBB" w14:textId="28DBF6F0" w:rsidR="00E341CE" w:rsidRDefault="004A1791" w:rsidP="00E341CE">
      <w:pPr>
        <w:spacing w:before="240" w:after="240"/>
        <w:jc w:val="both"/>
        <w:rPr>
          <w:iCs/>
          <w:sz w:val="22"/>
          <w:szCs w:val="22"/>
          <w:lang w:val="en-US"/>
        </w:rPr>
      </w:pPr>
      <w:r>
        <w:rPr>
          <w:iCs/>
          <w:sz w:val="22"/>
          <w:szCs w:val="22"/>
          <w:lang w:val="en-US"/>
        </w:rPr>
        <w:t>According to the specification TS</w:t>
      </w:r>
      <w:r w:rsidR="002744AB">
        <w:rPr>
          <w:iCs/>
          <w:sz w:val="22"/>
          <w:szCs w:val="22"/>
          <w:lang w:val="en-US"/>
        </w:rPr>
        <w:t xml:space="preserve"> 36.213 [</w:t>
      </w:r>
      <w:r w:rsidR="00A74E4E">
        <w:rPr>
          <w:iCs/>
          <w:sz w:val="22"/>
          <w:szCs w:val="22"/>
          <w:lang w:val="en-US"/>
        </w:rPr>
        <w:t>5</w:t>
      </w:r>
      <w:r w:rsidR="002744AB">
        <w:rPr>
          <w:iCs/>
          <w:sz w:val="22"/>
          <w:szCs w:val="22"/>
          <w:lang w:val="en-US"/>
        </w:rPr>
        <w:t xml:space="preserve">], the timing relationships </w:t>
      </w:r>
      <w:r w:rsidR="002C6323">
        <w:rPr>
          <w:iCs/>
          <w:sz w:val="22"/>
          <w:szCs w:val="22"/>
          <w:lang w:val="en-US"/>
        </w:rPr>
        <w:t xml:space="preserve">for </w:t>
      </w:r>
      <w:r w:rsidR="002744AB" w:rsidRPr="002744AB">
        <w:rPr>
          <w:iCs/>
          <w:sz w:val="22"/>
          <w:szCs w:val="22"/>
          <w:lang w:val="en-US"/>
        </w:rPr>
        <w:t>NPDCCH to NPUSCH format 1</w:t>
      </w:r>
      <w:r w:rsidR="002744AB">
        <w:rPr>
          <w:iCs/>
          <w:sz w:val="22"/>
          <w:szCs w:val="22"/>
          <w:lang w:val="en-US"/>
        </w:rPr>
        <w:t xml:space="preserve"> for NB-IoT are defined as follows. </w:t>
      </w:r>
    </w:p>
    <w:tbl>
      <w:tblPr>
        <w:tblStyle w:val="TableGrid"/>
        <w:tblW w:w="0" w:type="auto"/>
        <w:tblLook w:val="04A0" w:firstRow="1" w:lastRow="0" w:firstColumn="1" w:lastColumn="0" w:noHBand="0" w:noVBand="1"/>
      </w:tblPr>
      <w:tblGrid>
        <w:gridCol w:w="10160"/>
      </w:tblGrid>
      <w:tr w:rsidR="002744AB" w14:paraId="360056AC" w14:textId="77777777" w:rsidTr="002744AB">
        <w:tc>
          <w:tcPr>
            <w:tcW w:w="10160" w:type="dxa"/>
          </w:tcPr>
          <w:p w14:paraId="0643649D" w14:textId="77777777" w:rsidR="002744AB" w:rsidRPr="002744AB" w:rsidRDefault="002744AB" w:rsidP="002744AB">
            <w:pPr>
              <w:spacing w:line="240" w:lineRule="auto"/>
              <w:jc w:val="left"/>
              <w:rPr>
                <w:lang w:eastAsia="zh-CN"/>
              </w:rPr>
            </w:pPr>
            <w:r w:rsidRPr="002744AB">
              <w:rPr>
                <w:rFonts w:eastAsia="Times New Roman"/>
                <w:lang w:eastAsia="en-GB"/>
              </w:rPr>
              <w:t xml:space="preserve">A UE shall upon detection on a given serving cell of a NPDCCH with DCI format N0 ending in NB-IoT DL subframe </w:t>
            </w:r>
            <w:r w:rsidRPr="002744AB">
              <w:rPr>
                <w:rFonts w:eastAsia="Times New Roman"/>
                <w:i/>
                <w:lang w:eastAsia="en-GB"/>
              </w:rPr>
              <w:t>n</w:t>
            </w:r>
            <w:r w:rsidRPr="002744AB">
              <w:rPr>
                <w:rFonts w:eastAsia="Times New Roman"/>
                <w:lang w:eastAsia="en-GB"/>
              </w:rPr>
              <w:t xml:space="preserve"> intended for the UE, adjust, at the end of</w:t>
            </w:r>
            <w:r w:rsidRPr="002744AB">
              <w:rPr>
                <w:rFonts w:hint="eastAsia"/>
                <w:lang w:eastAsia="zh-CN"/>
              </w:rPr>
              <w:t xml:space="preserve"> </w:t>
            </w:r>
            <w:r w:rsidRPr="002744AB">
              <w:rPr>
                <w:rFonts w:hint="eastAsia"/>
                <w:i/>
                <w:lang w:eastAsia="zh-CN"/>
              </w:rPr>
              <w:t>n+k</w:t>
            </w:r>
            <w:r w:rsidRPr="002744AB">
              <w:rPr>
                <w:i/>
                <w:vertAlign w:val="subscript"/>
                <w:lang w:eastAsia="zh-CN"/>
              </w:rPr>
              <w:t>0</w:t>
            </w:r>
            <w:r w:rsidRPr="002744AB">
              <w:rPr>
                <w:rFonts w:hint="eastAsia"/>
                <w:lang w:eastAsia="zh-CN"/>
              </w:rPr>
              <w:t xml:space="preserve"> </w:t>
            </w:r>
            <w:r w:rsidRPr="002744AB">
              <w:rPr>
                <w:lang w:eastAsia="zh-CN"/>
              </w:rPr>
              <w:t>DL subframe,</w:t>
            </w:r>
            <w:r w:rsidRPr="002744AB">
              <w:rPr>
                <w:rFonts w:eastAsia="Times New Roman"/>
                <w:lang w:eastAsia="en-GB"/>
              </w:rPr>
              <w:t xml:space="preserve"> the corresponding NPUSCH transmission using NPUSCH format 1 </w:t>
            </w:r>
            <w:r w:rsidRPr="002744AB">
              <w:rPr>
                <w:rFonts w:hint="eastAsia"/>
                <w:lang w:eastAsia="zh-CN"/>
              </w:rPr>
              <w:t>in</w:t>
            </w:r>
            <w:r w:rsidRPr="002744AB">
              <w:rPr>
                <w:lang w:eastAsia="zh-CN"/>
              </w:rPr>
              <w:t xml:space="preserve"> </w:t>
            </w:r>
            <w:r w:rsidRPr="002744AB">
              <w:rPr>
                <w:rFonts w:hint="eastAsia"/>
                <w:i/>
                <w:lang w:eastAsia="zh-CN"/>
              </w:rPr>
              <w:t>N</w:t>
            </w:r>
            <w:r w:rsidRPr="002744AB">
              <w:rPr>
                <w:lang w:eastAsia="zh-CN"/>
              </w:rPr>
              <w:t xml:space="preserve"> consecutive NB-IoT</w:t>
            </w:r>
            <w:r w:rsidRPr="002744AB">
              <w:rPr>
                <w:rFonts w:hint="eastAsia"/>
                <w:lang w:eastAsia="zh-CN"/>
              </w:rPr>
              <w:t xml:space="preserve"> </w:t>
            </w:r>
            <w:r w:rsidRPr="002744AB">
              <w:rPr>
                <w:lang w:eastAsia="zh-CN"/>
              </w:rPr>
              <w:t>UL slots</w:t>
            </w:r>
            <w:r w:rsidRPr="002744AB">
              <w:rPr>
                <w:rFonts w:hint="eastAsia"/>
                <w:lang w:eastAsia="zh-CN"/>
              </w:rPr>
              <w:t xml:space="preserve"> </w:t>
            </w:r>
            <w:r w:rsidRPr="002744AB">
              <w:rPr>
                <w:i/>
                <w:lang w:eastAsia="zh-CN"/>
              </w:rPr>
              <w:t>n</w:t>
            </w:r>
            <w:r w:rsidRPr="002744AB">
              <w:rPr>
                <w:rFonts w:hint="eastAsia"/>
                <w:i/>
                <w:vertAlign w:val="subscript"/>
                <w:lang w:eastAsia="zh-CN"/>
              </w:rPr>
              <w:t>i</w:t>
            </w:r>
            <w:r w:rsidRPr="002744AB">
              <w:rPr>
                <w:rFonts w:hint="eastAsia"/>
                <w:lang w:eastAsia="zh-CN"/>
              </w:rPr>
              <w:t xml:space="preserve"> with </w:t>
            </w:r>
            <w:r w:rsidRPr="002744AB">
              <w:rPr>
                <w:rFonts w:hint="eastAsia"/>
                <w:i/>
                <w:lang w:eastAsia="zh-CN"/>
              </w:rPr>
              <w:t xml:space="preserve">i = 0, 1, </w:t>
            </w:r>
            <w:r w:rsidRPr="002744AB">
              <w:rPr>
                <w:i/>
                <w:lang w:eastAsia="zh-CN"/>
              </w:rPr>
              <w:t>…</w:t>
            </w:r>
            <w:r w:rsidRPr="002744AB">
              <w:rPr>
                <w:rFonts w:hint="eastAsia"/>
                <w:i/>
                <w:lang w:eastAsia="zh-CN"/>
              </w:rPr>
              <w:t>, N-1</w:t>
            </w:r>
            <w:r w:rsidRPr="002744AB">
              <w:rPr>
                <w:i/>
                <w:lang w:eastAsia="zh-CN"/>
              </w:rPr>
              <w:t xml:space="preserve"> </w:t>
            </w:r>
            <w:r w:rsidRPr="002744AB">
              <w:rPr>
                <w:rFonts w:eastAsia="Times New Roman"/>
                <w:lang w:eastAsia="en-GB"/>
              </w:rPr>
              <w:t>according to the NPDCCH information</w:t>
            </w:r>
            <w:r w:rsidRPr="002744AB">
              <w:rPr>
                <w:rFonts w:hint="eastAsia"/>
                <w:lang w:eastAsia="zh-CN"/>
              </w:rPr>
              <w:t xml:space="preserve"> where</w:t>
            </w:r>
          </w:p>
          <w:p w14:paraId="62778E0F" w14:textId="77777777" w:rsidR="002744AB" w:rsidRPr="002744AB" w:rsidRDefault="002744AB" w:rsidP="002744AB">
            <w:pPr>
              <w:spacing w:line="240" w:lineRule="auto"/>
              <w:ind w:left="568" w:hanging="284"/>
              <w:jc w:val="left"/>
              <w:rPr>
                <w:lang w:eastAsia="zh-CN"/>
              </w:rPr>
            </w:pPr>
            <w:r w:rsidRPr="002744AB">
              <w:rPr>
                <w:lang w:eastAsia="zh-CN"/>
              </w:rPr>
              <w:t>-</w:t>
            </w:r>
            <w:r w:rsidRPr="002744AB">
              <w:rPr>
                <w:lang w:eastAsia="zh-CN"/>
              </w:rPr>
              <w:tab/>
            </w:r>
            <w:r w:rsidRPr="002744AB">
              <w:rPr>
                <w:rFonts w:hint="eastAsia"/>
                <w:lang w:eastAsia="zh-CN"/>
              </w:rPr>
              <w:t xml:space="preserve">subframe </w:t>
            </w:r>
            <w:r w:rsidRPr="002744AB">
              <w:rPr>
                <w:rFonts w:hint="eastAsia"/>
                <w:i/>
                <w:lang w:eastAsia="zh-CN"/>
              </w:rPr>
              <w:t>n</w:t>
            </w:r>
            <w:r w:rsidRPr="002744AB">
              <w:rPr>
                <w:rFonts w:hint="eastAsia"/>
                <w:lang w:eastAsia="zh-CN"/>
              </w:rPr>
              <w:t xml:space="preserve"> is the last subframe in which the </w:t>
            </w:r>
            <w:r w:rsidRPr="002744AB">
              <w:rPr>
                <w:lang w:eastAsia="zh-CN"/>
              </w:rPr>
              <w:t>N</w:t>
            </w:r>
            <w:r w:rsidRPr="002744AB">
              <w:rPr>
                <w:rFonts w:hint="eastAsia"/>
                <w:lang w:eastAsia="zh-CN"/>
              </w:rPr>
              <w:t>PDCCH is transmitted</w:t>
            </w:r>
            <w:r w:rsidRPr="002744AB">
              <w:rPr>
                <w:lang w:eastAsia="zh-CN"/>
              </w:rPr>
              <w:t xml:space="preserve"> and is determined from the starting subframe of NPDCCH transmission and the </w:t>
            </w:r>
            <w:r w:rsidRPr="002744AB">
              <w:rPr>
                <w:rFonts w:eastAsia="Times New Roman" w:hint="eastAsia"/>
                <w:lang w:eastAsia="zh-CN"/>
              </w:rPr>
              <w:t>DCI subframe repetition number</w:t>
            </w:r>
            <w:r w:rsidRPr="002744AB">
              <w:rPr>
                <w:rFonts w:eastAsia="Times New Roman"/>
                <w:lang w:eastAsia="zh-CN"/>
              </w:rPr>
              <w:t xml:space="preserve"> field in the corresponding DCI</w:t>
            </w:r>
            <w:r w:rsidRPr="002744AB">
              <w:rPr>
                <w:rFonts w:hint="eastAsia"/>
                <w:lang w:eastAsia="zh-CN"/>
              </w:rPr>
              <w:t>; and</w:t>
            </w:r>
          </w:p>
          <w:p w14:paraId="1F91CA0A" w14:textId="77777777" w:rsidR="002744AB" w:rsidRPr="002744AB" w:rsidRDefault="002744AB" w:rsidP="002744AB">
            <w:pPr>
              <w:spacing w:line="240" w:lineRule="auto"/>
              <w:ind w:left="568" w:hanging="284"/>
              <w:jc w:val="left"/>
              <w:rPr>
                <w:rFonts w:eastAsia="Times New Roman"/>
                <w:lang w:eastAsia="zh-CN"/>
              </w:rPr>
            </w:pPr>
            <w:r w:rsidRPr="002744AB">
              <w:rPr>
                <w:rFonts w:eastAsia="Times New Roman"/>
                <w:lang w:eastAsia="en-GB"/>
              </w:rPr>
              <w:t>-</w:t>
            </w:r>
            <w:r w:rsidRPr="002744AB">
              <w:rPr>
                <w:rFonts w:eastAsia="Times New Roman"/>
                <w:lang w:eastAsia="en-GB"/>
              </w:rPr>
              <w:tab/>
            </w:r>
            <w:r w:rsidRPr="002744AB">
              <w:rPr>
                <w:rFonts w:eastAsia="Times New Roman"/>
                <w:position w:val="-14"/>
                <w:lang w:eastAsia="en-GB"/>
              </w:rPr>
              <w:object w:dxaOrig="1780" w:dyaOrig="400" w14:anchorId="69F5880D">
                <v:shape id="_x0000_i1032" type="#_x0000_t75" style="width:88.15pt;height:19.85pt" o:ole="">
                  <v:imagedata r:id="rId25" o:title=""/>
                </v:shape>
                <o:OLEObject Type="Embed" ProgID="Equation.DSMT4" ShapeID="_x0000_i1032" DrawAspect="Content" ObjectID="_1679289116" r:id="rId26"/>
              </w:object>
            </w:r>
            <w:r w:rsidRPr="002744AB">
              <w:rPr>
                <w:lang w:eastAsia="zh-CN"/>
              </w:rPr>
              <w:t xml:space="preserve">, where </w:t>
            </w:r>
            <w:r w:rsidRPr="002744AB">
              <w:rPr>
                <w:rFonts w:hint="eastAsia"/>
                <w:lang w:eastAsia="zh-CN"/>
              </w:rPr>
              <w:t xml:space="preserve">the value of </w:t>
            </w:r>
            <w:r w:rsidRPr="002744AB">
              <w:rPr>
                <w:rFonts w:eastAsia="Times New Roman"/>
                <w:position w:val="-14"/>
                <w:lang w:eastAsia="en-GB"/>
              </w:rPr>
              <w:object w:dxaOrig="460" w:dyaOrig="380" w14:anchorId="0B7146B3">
                <v:shape id="_x0000_i1033" type="#_x0000_t75" style="width:22.6pt;height:18.9pt" o:ole="">
                  <v:imagedata r:id="rId27" o:title=""/>
                </v:shape>
                <o:OLEObject Type="Embed" ProgID="Equation.3" ShapeID="_x0000_i1033" DrawAspect="Content" ObjectID="_1679289117" r:id="rId28"/>
              </w:object>
            </w:r>
            <w:r w:rsidRPr="002744AB">
              <w:rPr>
                <w:rFonts w:hint="eastAsia"/>
                <w:lang w:eastAsia="zh-CN"/>
              </w:rPr>
              <w:t xml:space="preserve">is determined by the </w:t>
            </w:r>
            <w:r w:rsidRPr="002744AB">
              <w:rPr>
                <w:rFonts w:eastAsia="Times New Roman" w:hint="eastAsia"/>
                <w:lang w:eastAsia="zh-CN"/>
              </w:rPr>
              <w:t>repetition number</w:t>
            </w:r>
            <w:r w:rsidRPr="002744AB">
              <w:rPr>
                <w:rFonts w:hint="eastAsia"/>
                <w:lang w:eastAsia="zh-CN"/>
              </w:rPr>
              <w:t xml:space="preserve"> </w:t>
            </w:r>
            <w:r w:rsidRPr="002744AB">
              <w:rPr>
                <w:lang w:eastAsia="zh-CN"/>
              </w:rPr>
              <w:t xml:space="preserve">field </w:t>
            </w:r>
            <w:r w:rsidRPr="002744AB">
              <w:rPr>
                <w:rFonts w:hint="eastAsia"/>
                <w:lang w:eastAsia="zh-CN"/>
              </w:rPr>
              <w:t>in the corresponding DCI</w:t>
            </w:r>
            <w:r w:rsidRPr="002744AB">
              <w:rPr>
                <w:lang w:eastAsia="zh-CN"/>
              </w:rPr>
              <w:t xml:space="preserve"> (see subclause 16.5.1.1), </w:t>
            </w:r>
            <w:r w:rsidRPr="002744AB">
              <w:rPr>
                <w:rFonts w:hint="eastAsia"/>
                <w:lang w:eastAsia="zh-CN"/>
              </w:rPr>
              <w:t xml:space="preserve">the value of </w:t>
            </w:r>
            <w:r w:rsidRPr="002744AB">
              <w:rPr>
                <w:rFonts w:eastAsia="Times New Roman"/>
                <w:position w:val="-10"/>
                <w:lang w:eastAsia="en-GB"/>
              </w:rPr>
              <w:object w:dxaOrig="440" w:dyaOrig="340" w14:anchorId="13B1EAB1">
                <v:shape id="_x0000_i1034" type="#_x0000_t75" style="width:21.7pt;height:16.6pt" o:ole="">
                  <v:imagedata r:id="rId29" o:title=""/>
                </v:shape>
                <o:OLEObject Type="Embed" ProgID="Equation.3" ShapeID="_x0000_i1034" DrawAspect="Content" ObjectID="_1679289118" r:id="rId30"/>
              </w:object>
            </w:r>
            <w:r w:rsidRPr="002744AB">
              <w:rPr>
                <w:rFonts w:hint="eastAsia"/>
                <w:lang w:eastAsia="zh-CN"/>
              </w:rPr>
              <w:t xml:space="preserve">is determined by the </w:t>
            </w:r>
            <w:r w:rsidRPr="002744AB">
              <w:rPr>
                <w:rFonts w:eastAsia="Times New Roman"/>
                <w:lang w:eastAsia="zh-CN"/>
              </w:rPr>
              <w:t>resource assignment</w:t>
            </w:r>
            <w:r w:rsidRPr="002744AB">
              <w:rPr>
                <w:rFonts w:hint="eastAsia"/>
                <w:lang w:eastAsia="zh-CN"/>
              </w:rPr>
              <w:t xml:space="preserve"> </w:t>
            </w:r>
            <w:r w:rsidRPr="002744AB">
              <w:rPr>
                <w:lang w:eastAsia="zh-CN"/>
              </w:rPr>
              <w:t xml:space="preserve">field </w:t>
            </w:r>
            <w:r w:rsidRPr="002744AB">
              <w:rPr>
                <w:rFonts w:hint="eastAsia"/>
                <w:lang w:eastAsia="zh-CN"/>
              </w:rPr>
              <w:t xml:space="preserve">in the corresponding </w:t>
            </w:r>
            <w:r w:rsidRPr="002744AB">
              <w:rPr>
                <w:rFonts w:hint="eastAsia"/>
                <w:lang w:eastAsia="zh-CN"/>
              </w:rPr>
              <w:lastRenderedPageBreak/>
              <w:t>DCI</w:t>
            </w:r>
            <w:r w:rsidRPr="002744AB">
              <w:rPr>
                <w:lang w:eastAsia="zh-CN"/>
              </w:rPr>
              <w:t xml:space="preserve"> (see subclause 16.5.1.1), and </w:t>
            </w:r>
            <w:r w:rsidRPr="002744AB">
              <w:rPr>
                <w:rFonts w:hint="eastAsia"/>
                <w:lang w:eastAsia="zh-CN"/>
              </w:rPr>
              <w:t xml:space="preserve">the value of </w:t>
            </w:r>
            <w:r w:rsidRPr="002744AB">
              <w:rPr>
                <w:rFonts w:eastAsia="Times New Roman"/>
                <w:position w:val="-12"/>
                <w:lang w:eastAsia="en-GB"/>
              </w:rPr>
              <w:object w:dxaOrig="520" w:dyaOrig="380" w14:anchorId="2B853B7A">
                <v:shape id="_x0000_i1035" type="#_x0000_t75" style="width:25.85pt;height:18.9pt" o:ole="">
                  <v:imagedata r:id="rId31" o:title=""/>
                </v:shape>
                <o:OLEObject Type="Embed" ProgID="Equation.DSMT4" ShapeID="_x0000_i1035" DrawAspect="Content" ObjectID="_1679289119" r:id="rId32"/>
              </w:object>
            </w:r>
            <w:r w:rsidRPr="002744AB">
              <w:rPr>
                <w:lang w:eastAsia="zh-CN"/>
              </w:rPr>
              <w:t xml:space="preserve"> is the number of NB-IoT UL slots of the resource unit (defined in clause 10.1.2.3 of [3]) corresponding to the allocated number of subcarriers (as determined in subclause 16.5.1.1) in the corresponding DCI,</w:t>
            </w:r>
            <w:r w:rsidRPr="002744AB">
              <w:rPr>
                <w:rFonts w:eastAsia="Times New Roman"/>
                <w:lang w:eastAsia="zh-CN"/>
              </w:rPr>
              <w:t xml:space="preserve"> </w:t>
            </w:r>
          </w:p>
          <w:p w14:paraId="3700AD63" w14:textId="77777777" w:rsidR="002744AB" w:rsidRPr="002744AB" w:rsidRDefault="002744AB" w:rsidP="002744AB">
            <w:pPr>
              <w:spacing w:line="240" w:lineRule="auto"/>
              <w:ind w:left="568" w:hanging="284"/>
              <w:jc w:val="left"/>
              <w:rPr>
                <w:rFonts w:eastAsia="Times New Roman"/>
                <w:lang w:eastAsia="en-GB"/>
              </w:rPr>
            </w:pPr>
            <w:r w:rsidRPr="002744AB">
              <w:rPr>
                <w:rFonts w:eastAsia="Times New Roman"/>
                <w:lang w:eastAsia="zh-CN"/>
              </w:rPr>
              <w:t>-</w:t>
            </w:r>
            <w:r w:rsidRPr="002744AB">
              <w:rPr>
                <w:rFonts w:eastAsia="Times New Roman"/>
                <w:lang w:eastAsia="zh-CN"/>
              </w:rPr>
              <w:tab/>
            </w:r>
            <w:r w:rsidRPr="002744AB">
              <w:rPr>
                <w:rFonts w:eastAsia="Times New Roman"/>
                <w:i/>
                <w:lang w:eastAsia="zh-CN"/>
              </w:rPr>
              <w:t>n</w:t>
            </w:r>
            <w:r w:rsidRPr="002744AB">
              <w:rPr>
                <w:rFonts w:eastAsia="Times New Roman" w:hint="eastAsia"/>
                <w:i/>
                <w:vertAlign w:val="subscript"/>
                <w:lang w:eastAsia="zh-CN"/>
              </w:rPr>
              <w:t>0</w:t>
            </w:r>
            <w:r w:rsidRPr="002744AB">
              <w:rPr>
                <w:rFonts w:eastAsia="Times New Roman"/>
                <w:i/>
                <w:vertAlign w:val="subscript"/>
                <w:lang w:eastAsia="zh-CN"/>
              </w:rPr>
              <w:t xml:space="preserve"> </w:t>
            </w:r>
            <w:r w:rsidRPr="002744AB">
              <w:rPr>
                <w:rFonts w:eastAsia="Times New Roman"/>
                <w:lang w:eastAsia="zh-CN"/>
              </w:rPr>
              <w:t xml:space="preserve">is the first NB-IoT UL slot starting after the end of subframe </w:t>
            </w:r>
            <w:r w:rsidRPr="002744AB">
              <w:rPr>
                <w:rFonts w:eastAsia="Times New Roman" w:hint="eastAsia"/>
                <w:i/>
                <w:lang w:eastAsia="zh-CN"/>
              </w:rPr>
              <w:t>n+k</w:t>
            </w:r>
            <w:r w:rsidRPr="002744AB">
              <w:rPr>
                <w:rFonts w:eastAsia="Times New Roman"/>
                <w:i/>
                <w:vertAlign w:val="subscript"/>
                <w:lang w:eastAsia="zh-CN"/>
              </w:rPr>
              <w:t>0</w:t>
            </w:r>
          </w:p>
          <w:p w14:paraId="5A52CFF2" w14:textId="500CB0C9" w:rsidR="002744AB" w:rsidRPr="002744AB" w:rsidRDefault="002744AB" w:rsidP="002744AB">
            <w:pPr>
              <w:spacing w:line="240" w:lineRule="auto"/>
              <w:ind w:left="568" w:hanging="284"/>
              <w:jc w:val="left"/>
              <w:rPr>
                <w:rFonts w:eastAsia="Times New Roman"/>
                <w:lang w:eastAsia="en-GB"/>
              </w:rPr>
            </w:pPr>
            <w:r w:rsidRPr="002744AB">
              <w:rPr>
                <w:lang w:eastAsia="zh-CN"/>
              </w:rPr>
              <w:t>-</w:t>
            </w:r>
            <w:r w:rsidRPr="002744AB">
              <w:rPr>
                <w:lang w:eastAsia="zh-CN"/>
              </w:rPr>
              <w:tab/>
              <w:t xml:space="preserve">value of </w:t>
            </w:r>
            <w:r w:rsidRPr="002744AB">
              <w:rPr>
                <w:rFonts w:hint="eastAsia"/>
                <w:i/>
                <w:lang w:eastAsia="zh-CN"/>
              </w:rPr>
              <w:t>k</w:t>
            </w:r>
            <w:r w:rsidRPr="002744AB">
              <w:rPr>
                <w:rFonts w:hint="eastAsia"/>
                <w:i/>
                <w:vertAlign w:val="subscript"/>
                <w:lang w:eastAsia="zh-CN"/>
              </w:rPr>
              <w:t>0</w:t>
            </w:r>
            <w:r w:rsidRPr="002744AB">
              <w:rPr>
                <w:lang w:eastAsia="zh-CN"/>
              </w:rPr>
              <w:t xml:space="preserve"> is</w:t>
            </w:r>
            <w:r w:rsidRPr="002744AB">
              <w:rPr>
                <w:rFonts w:hint="eastAsia"/>
                <w:lang w:eastAsia="zh-CN"/>
              </w:rPr>
              <w:t xml:space="preserve"> determined by the </w:t>
            </w:r>
            <w:r w:rsidRPr="002744AB">
              <w:rPr>
                <w:rFonts w:eastAsia="Times New Roman"/>
                <w:lang w:eastAsia="zh-CN"/>
              </w:rPr>
              <w:t>scheduling delay</w:t>
            </w:r>
            <w:r w:rsidRPr="002744AB">
              <w:rPr>
                <w:rFonts w:hint="eastAsia"/>
                <w:lang w:eastAsia="zh-CN"/>
              </w:rPr>
              <w:t xml:space="preserve"> </w:t>
            </w:r>
            <w:r w:rsidRPr="002744AB">
              <w:rPr>
                <w:lang w:eastAsia="zh-CN"/>
              </w:rPr>
              <w:t>field (</w:t>
            </w:r>
            <w:r w:rsidRPr="002744AB">
              <w:rPr>
                <w:rFonts w:eastAsia="Times New Roman"/>
                <w:position w:val="-14"/>
                <w:lang w:eastAsia="en-GB"/>
              </w:rPr>
              <w:object w:dxaOrig="520" w:dyaOrig="380" w14:anchorId="3147937C">
                <v:shape id="_x0000_i1036" type="#_x0000_t75" style="width:25.85pt;height:18.9pt" o:ole="">
                  <v:imagedata r:id="rId33" o:title=""/>
                </v:shape>
                <o:OLEObject Type="Embed" ProgID="Equation.3" ShapeID="_x0000_i1036" DrawAspect="Content" ObjectID="_1679289120" r:id="rId34"/>
              </w:object>
            </w:r>
            <w:r w:rsidRPr="002744AB">
              <w:rPr>
                <w:lang w:eastAsia="zh-CN"/>
              </w:rPr>
              <w:t xml:space="preserve">) </w:t>
            </w:r>
            <w:r w:rsidRPr="002744AB">
              <w:rPr>
                <w:rFonts w:hint="eastAsia"/>
                <w:lang w:eastAsia="zh-CN"/>
              </w:rPr>
              <w:t>in the corresponding DCI</w:t>
            </w:r>
            <w:r w:rsidRPr="002744AB">
              <w:rPr>
                <w:lang w:eastAsia="zh-CN"/>
              </w:rPr>
              <w:t xml:space="preserve"> according to Table 16.5.1-1.</w:t>
            </w:r>
            <w:r w:rsidRPr="002744AB">
              <w:rPr>
                <w:rFonts w:eastAsia="Times New Roman"/>
                <w:lang w:eastAsia="en-GB"/>
              </w:rPr>
              <w:t xml:space="preserve"> </w:t>
            </w:r>
          </w:p>
        </w:tc>
      </w:tr>
    </w:tbl>
    <w:p w14:paraId="450B54BB" w14:textId="1E8BD346" w:rsidR="002744AB" w:rsidRDefault="00032AF7" w:rsidP="00E341CE">
      <w:pPr>
        <w:spacing w:before="240" w:after="240"/>
        <w:jc w:val="both"/>
        <w:rPr>
          <w:iCs/>
          <w:sz w:val="22"/>
          <w:szCs w:val="22"/>
          <w:lang w:val="en-US"/>
        </w:rPr>
      </w:pPr>
      <w:r>
        <w:rPr>
          <w:iCs/>
          <w:sz w:val="22"/>
          <w:szCs w:val="22"/>
          <w:lang w:val="en-US"/>
        </w:rPr>
        <w:lastRenderedPageBreak/>
        <w:t xml:space="preserve">From the above specification text it is clear that the UE is required to </w:t>
      </w:r>
      <w:r w:rsidR="00DE77DE">
        <w:rPr>
          <w:iCs/>
          <w:sz w:val="22"/>
          <w:szCs w:val="22"/>
          <w:lang w:val="en-US"/>
        </w:rPr>
        <w:t xml:space="preserve">start </w:t>
      </w:r>
      <w:r w:rsidR="00DE77DE" w:rsidRPr="002744AB">
        <w:rPr>
          <w:iCs/>
          <w:sz w:val="22"/>
          <w:szCs w:val="22"/>
          <w:lang w:val="en-US"/>
        </w:rPr>
        <w:t>NPUSCH format 1</w:t>
      </w:r>
      <w:r w:rsidR="00DE77DE">
        <w:rPr>
          <w:iCs/>
          <w:sz w:val="22"/>
          <w:szCs w:val="22"/>
          <w:lang w:val="en-US"/>
        </w:rPr>
        <w:t xml:space="preserve"> transmission in</w:t>
      </w:r>
      <w:r w:rsidR="00DE77DE" w:rsidRPr="00DE77DE">
        <w:rPr>
          <w:iCs/>
          <w:sz w:val="22"/>
          <w:szCs w:val="22"/>
          <w:lang w:val="en-US"/>
        </w:rPr>
        <w:t xml:space="preserve"> the first NB-IoT UL slot starting after the end of </w:t>
      </w:r>
      <w:r w:rsidR="00DE77DE">
        <w:rPr>
          <w:iCs/>
          <w:sz w:val="22"/>
          <w:szCs w:val="22"/>
          <w:lang w:val="en-US"/>
        </w:rPr>
        <w:t xml:space="preserve">DL </w:t>
      </w:r>
      <w:r w:rsidR="00DE77DE" w:rsidRPr="00DE77DE">
        <w:rPr>
          <w:iCs/>
          <w:sz w:val="22"/>
          <w:szCs w:val="22"/>
          <w:lang w:val="en-US"/>
        </w:rPr>
        <w:t>subframe n+k</w:t>
      </w:r>
      <w:r w:rsidR="00DE77DE" w:rsidRPr="00DE77DE">
        <w:rPr>
          <w:iCs/>
          <w:sz w:val="22"/>
          <w:szCs w:val="22"/>
          <w:vertAlign w:val="subscript"/>
          <w:lang w:val="en-US"/>
        </w:rPr>
        <w:t>0</w:t>
      </w:r>
      <w:r w:rsidR="00DE77DE">
        <w:rPr>
          <w:iCs/>
          <w:sz w:val="22"/>
          <w:szCs w:val="22"/>
          <w:lang w:val="en-US"/>
        </w:rPr>
        <w:t>, where n is the last DL subframe of the NPDCCH transmission, k</w:t>
      </w:r>
      <w:r w:rsidR="00DE77DE" w:rsidRPr="00DE77DE">
        <w:rPr>
          <w:iCs/>
          <w:sz w:val="22"/>
          <w:szCs w:val="22"/>
          <w:vertAlign w:val="subscript"/>
          <w:lang w:val="en-US"/>
        </w:rPr>
        <w:t>0</w:t>
      </w:r>
      <w:r w:rsidR="00DE77DE">
        <w:rPr>
          <w:iCs/>
          <w:sz w:val="22"/>
          <w:szCs w:val="22"/>
          <w:lang w:val="en-US"/>
        </w:rPr>
        <w:t xml:space="preserve"> is subframe offset. </w:t>
      </w:r>
      <w:r w:rsidR="00DB6B86">
        <w:rPr>
          <w:iCs/>
          <w:sz w:val="22"/>
          <w:szCs w:val="22"/>
          <w:lang w:val="en-US"/>
        </w:rPr>
        <w:t xml:space="preserve">Thus, </w:t>
      </w:r>
      <w:r w:rsidR="00082B87">
        <w:rPr>
          <w:iCs/>
          <w:sz w:val="22"/>
          <w:szCs w:val="22"/>
          <w:lang w:val="en-US"/>
        </w:rPr>
        <w:t>the UL transmission at the UE always happen</w:t>
      </w:r>
      <w:r w:rsidR="00A1107F">
        <w:rPr>
          <w:iCs/>
          <w:sz w:val="22"/>
          <w:szCs w:val="22"/>
          <w:lang w:val="en-US"/>
        </w:rPr>
        <w:t>s</w:t>
      </w:r>
      <w:r w:rsidR="00082B87">
        <w:rPr>
          <w:iCs/>
          <w:sz w:val="22"/>
          <w:szCs w:val="22"/>
          <w:lang w:val="en-US"/>
        </w:rPr>
        <w:t xml:space="preserve"> after the corresponding NPDCCH, i.e. non-causal UE behavior is avoided in the current specification for NB-IoT. However, since the autonomous TA is UE-specific and may be not available at the gNB, specification enhancement</w:t>
      </w:r>
      <w:r w:rsidR="0081110A">
        <w:rPr>
          <w:iCs/>
          <w:sz w:val="22"/>
          <w:szCs w:val="22"/>
          <w:lang w:val="en-US"/>
        </w:rPr>
        <w:t>s</w:t>
      </w:r>
      <w:r w:rsidR="00082B87">
        <w:rPr>
          <w:iCs/>
          <w:sz w:val="22"/>
          <w:szCs w:val="22"/>
          <w:lang w:val="en-US"/>
        </w:rPr>
        <w:t xml:space="preserve"> </w:t>
      </w:r>
      <w:r w:rsidR="0081110A">
        <w:rPr>
          <w:iCs/>
          <w:sz w:val="22"/>
          <w:szCs w:val="22"/>
          <w:lang w:val="en-US"/>
        </w:rPr>
        <w:t>are</w:t>
      </w:r>
      <w:r w:rsidR="00082B87">
        <w:rPr>
          <w:iCs/>
          <w:sz w:val="22"/>
          <w:szCs w:val="22"/>
          <w:lang w:val="en-US"/>
        </w:rPr>
        <w:t xml:space="preserve"> needed for the </w:t>
      </w:r>
      <w:r w:rsidR="005C20CD">
        <w:rPr>
          <w:iCs/>
          <w:sz w:val="22"/>
          <w:szCs w:val="22"/>
          <w:lang w:val="en-US"/>
        </w:rPr>
        <w:t xml:space="preserve">NB-IoT </w:t>
      </w:r>
      <w:r w:rsidR="00082B87">
        <w:rPr>
          <w:iCs/>
          <w:sz w:val="22"/>
          <w:szCs w:val="22"/>
          <w:lang w:val="en-US"/>
        </w:rPr>
        <w:t xml:space="preserve">timing relationships. </w:t>
      </w:r>
    </w:p>
    <w:p w14:paraId="6BB7440C" w14:textId="567556A8" w:rsidR="001611C3" w:rsidRDefault="001611C3" w:rsidP="00E341CE">
      <w:pPr>
        <w:spacing w:before="240" w:after="240"/>
        <w:jc w:val="both"/>
        <w:rPr>
          <w:iCs/>
          <w:sz w:val="22"/>
          <w:szCs w:val="22"/>
          <w:lang w:val="en-US"/>
        </w:rPr>
      </w:pPr>
      <w:r w:rsidRPr="001611C3">
        <w:rPr>
          <w:b/>
          <w:bCs/>
          <w:i/>
          <w:sz w:val="22"/>
          <w:szCs w:val="22"/>
          <w:lang w:val="en-US"/>
        </w:rPr>
        <w:t>Observation 1</w:t>
      </w:r>
      <w:r>
        <w:rPr>
          <w:iCs/>
          <w:sz w:val="22"/>
          <w:szCs w:val="22"/>
          <w:lang w:val="en-US"/>
        </w:rPr>
        <w:t xml:space="preserve">: </w:t>
      </w:r>
    </w:p>
    <w:p w14:paraId="424D9D8C" w14:textId="0DFD31C2" w:rsidR="001611C3" w:rsidRDefault="001611C3" w:rsidP="001611C3">
      <w:pPr>
        <w:pStyle w:val="ListParagraph"/>
        <w:numPr>
          <w:ilvl w:val="0"/>
          <w:numId w:val="38"/>
        </w:numPr>
        <w:spacing w:before="240" w:after="240"/>
        <w:jc w:val="both"/>
        <w:rPr>
          <w:rFonts w:ascii="Times New Roman" w:hAnsi="Times New Roman"/>
          <w:i/>
        </w:rPr>
      </w:pPr>
      <w:r w:rsidRPr="001611C3">
        <w:rPr>
          <w:rFonts w:ascii="Times New Roman" w:hAnsi="Times New Roman"/>
          <w:i/>
        </w:rPr>
        <w:t>Specification enhancement</w:t>
      </w:r>
      <w:r w:rsidR="0081110A">
        <w:rPr>
          <w:rFonts w:ascii="Times New Roman" w:hAnsi="Times New Roman"/>
          <w:i/>
        </w:rPr>
        <w:t>s</w:t>
      </w:r>
      <w:r w:rsidRPr="001611C3">
        <w:rPr>
          <w:rFonts w:ascii="Times New Roman" w:hAnsi="Times New Roman"/>
          <w:i/>
        </w:rPr>
        <w:t xml:space="preserve"> </w:t>
      </w:r>
      <w:r w:rsidR="0081110A">
        <w:rPr>
          <w:rFonts w:ascii="Times New Roman" w:hAnsi="Times New Roman"/>
          <w:i/>
        </w:rPr>
        <w:t>are</w:t>
      </w:r>
      <w:r w:rsidRPr="001611C3">
        <w:rPr>
          <w:rFonts w:ascii="Times New Roman" w:hAnsi="Times New Roman"/>
          <w:i/>
        </w:rPr>
        <w:t xml:space="preserve"> needed for </w:t>
      </w:r>
      <w:r w:rsidR="00035129" w:rsidRPr="001611C3">
        <w:rPr>
          <w:rFonts w:ascii="Times New Roman" w:hAnsi="Times New Roman"/>
          <w:i/>
        </w:rPr>
        <w:t xml:space="preserve">NB-IoT </w:t>
      </w:r>
      <w:r w:rsidRPr="001611C3">
        <w:rPr>
          <w:rFonts w:ascii="Times New Roman" w:hAnsi="Times New Roman"/>
          <w:i/>
        </w:rPr>
        <w:t>timing relationships</w:t>
      </w:r>
    </w:p>
    <w:p w14:paraId="2311A5C4" w14:textId="62DDA11C" w:rsidR="008A157B" w:rsidRDefault="008A157B" w:rsidP="008A157B">
      <w:pPr>
        <w:spacing w:before="240" w:after="240"/>
        <w:jc w:val="both"/>
        <w:rPr>
          <w:iCs/>
          <w:sz w:val="22"/>
          <w:szCs w:val="22"/>
          <w:lang w:val="en-US"/>
        </w:rPr>
      </w:pPr>
      <w:r>
        <w:rPr>
          <w:iCs/>
          <w:sz w:val="22"/>
          <w:szCs w:val="22"/>
          <w:lang w:val="en-US"/>
        </w:rPr>
        <w:t xml:space="preserve">According to the specification TS 36.213 [5], the timing relationships for </w:t>
      </w:r>
      <w:r w:rsidRPr="008A157B">
        <w:rPr>
          <w:iCs/>
          <w:sz w:val="22"/>
          <w:szCs w:val="22"/>
          <w:lang w:val="en-US"/>
        </w:rPr>
        <w:t>MPDCCH to PUSCH</w:t>
      </w:r>
      <w:r>
        <w:rPr>
          <w:iCs/>
          <w:sz w:val="22"/>
          <w:szCs w:val="22"/>
          <w:lang w:val="en-US"/>
        </w:rPr>
        <w:t xml:space="preserve"> for eMTC are defined as follows.</w:t>
      </w:r>
    </w:p>
    <w:tbl>
      <w:tblPr>
        <w:tblStyle w:val="TableGrid"/>
        <w:tblW w:w="0" w:type="auto"/>
        <w:tblLook w:val="04A0" w:firstRow="1" w:lastRow="0" w:firstColumn="1" w:lastColumn="0" w:noHBand="0" w:noVBand="1"/>
      </w:tblPr>
      <w:tblGrid>
        <w:gridCol w:w="10160"/>
      </w:tblGrid>
      <w:tr w:rsidR="00B10B4D" w14:paraId="426B38E1" w14:textId="77777777" w:rsidTr="00B10B4D">
        <w:tc>
          <w:tcPr>
            <w:tcW w:w="10160" w:type="dxa"/>
          </w:tcPr>
          <w:p w14:paraId="2C50FCA4" w14:textId="77777777" w:rsidR="003C74C8" w:rsidRPr="003C74C8" w:rsidRDefault="003C74C8" w:rsidP="003C74C8">
            <w:pPr>
              <w:rPr>
                <w:lang w:eastAsia="zh-CN"/>
              </w:rPr>
            </w:pPr>
            <w:r w:rsidRPr="003C74C8">
              <w:rPr>
                <w:rFonts w:hint="eastAsia"/>
                <w:lang w:eastAsia="zh-CN"/>
              </w:rPr>
              <w:t xml:space="preserve">A </w:t>
            </w:r>
            <w:r w:rsidRPr="003C74C8">
              <w:rPr>
                <w:lang w:eastAsia="zh-CN"/>
              </w:rPr>
              <w:t xml:space="preserve">BL/CE </w:t>
            </w:r>
            <w:r w:rsidRPr="003C74C8">
              <w:rPr>
                <w:rFonts w:hint="eastAsia"/>
                <w:lang w:eastAsia="zh-CN"/>
              </w:rPr>
              <w:t xml:space="preserve">UE shall upon detection on a given serving cell of an MPDCCH with DCI format </w:t>
            </w:r>
            <w:r w:rsidRPr="003C74C8">
              <w:rPr>
                <w:lang w:eastAsia="zh-CN"/>
              </w:rPr>
              <w:t>6-</w:t>
            </w:r>
            <w:r w:rsidRPr="003C74C8">
              <w:rPr>
                <w:rFonts w:hint="eastAsia"/>
                <w:lang w:eastAsia="zh-CN"/>
              </w:rPr>
              <w:t>0A/</w:t>
            </w:r>
            <w:r w:rsidRPr="003C74C8">
              <w:rPr>
                <w:lang w:eastAsia="zh-CN"/>
              </w:rPr>
              <w:t>6-</w:t>
            </w:r>
            <w:r w:rsidRPr="003C74C8">
              <w:rPr>
                <w:rFonts w:hint="eastAsia"/>
                <w:lang w:eastAsia="zh-CN"/>
              </w:rPr>
              <w:t xml:space="preserve">0B intended for the UE, adjust the corresponding PUSCH transmission in subframe(s) </w:t>
            </w:r>
            <w:r w:rsidRPr="003C74C8">
              <w:rPr>
                <w:rFonts w:hint="eastAsia"/>
                <w:i/>
                <w:lang w:eastAsia="zh-CN"/>
              </w:rPr>
              <w:t>n+k</w:t>
            </w:r>
            <w:r w:rsidRPr="003C74C8">
              <w:rPr>
                <w:rFonts w:hint="eastAsia"/>
                <w:i/>
                <w:vertAlign w:val="subscript"/>
                <w:lang w:eastAsia="zh-CN"/>
              </w:rPr>
              <w:t>i</w:t>
            </w:r>
            <w:r w:rsidRPr="003C74C8">
              <w:rPr>
                <w:rFonts w:hint="eastAsia"/>
                <w:lang w:eastAsia="zh-CN"/>
              </w:rPr>
              <w:t xml:space="preserve"> with </w:t>
            </w:r>
            <w:r w:rsidRPr="003C74C8">
              <w:rPr>
                <w:rFonts w:hint="eastAsia"/>
                <w:i/>
                <w:lang w:eastAsia="zh-CN"/>
              </w:rPr>
              <w:t xml:space="preserve">i = 0, 1, </w:t>
            </w:r>
            <w:r w:rsidRPr="003C74C8">
              <w:rPr>
                <w:i/>
                <w:lang w:eastAsia="zh-CN"/>
              </w:rPr>
              <w:t>…</w:t>
            </w:r>
            <w:r w:rsidRPr="003C74C8">
              <w:rPr>
                <w:rFonts w:hint="eastAsia"/>
                <w:i/>
                <w:lang w:eastAsia="zh-CN"/>
              </w:rPr>
              <w:t>, N-1</w:t>
            </w:r>
            <w:r w:rsidRPr="003C74C8">
              <w:rPr>
                <w:rFonts w:hint="eastAsia"/>
                <w:lang w:eastAsia="zh-CN"/>
              </w:rPr>
              <w:t xml:space="preserve"> according to the MPDCCH, where</w:t>
            </w:r>
          </w:p>
          <w:p w14:paraId="39F8F1ED" w14:textId="77777777" w:rsidR="003C74C8" w:rsidRPr="003C74C8" w:rsidRDefault="003C74C8" w:rsidP="003C74C8">
            <w:pPr>
              <w:ind w:left="568" w:hanging="284"/>
              <w:rPr>
                <w:lang w:eastAsia="zh-CN"/>
              </w:rPr>
            </w:pPr>
            <w:r w:rsidRPr="003C74C8">
              <w:rPr>
                <w:lang w:eastAsia="zh-CN"/>
              </w:rPr>
              <w:t>-</w:t>
            </w:r>
            <w:r w:rsidRPr="003C74C8">
              <w:rPr>
                <w:lang w:eastAsia="zh-CN"/>
              </w:rPr>
              <w:tab/>
            </w:r>
            <w:r w:rsidRPr="003C74C8">
              <w:rPr>
                <w:rFonts w:hint="eastAsia"/>
                <w:lang w:eastAsia="zh-CN"/>
              </w:rPr>
              <w:t xml:space="preserve">subframe </w:t>
            </w:r>
            <w:r w:rsidRPr="003C74C8">
              <w:rPr>
                <w:rFonts w:hint="eastAsia"/>
                <w:i/>
                <w:lang w:eastAsia="zh-CN"/>
              </w:rPr>
              <w:t>n</w:t>
            </w:r>
            <w:r w:rsidRPr="003C74C8">
              <w:rPr>
                <w:rFonts w:hint="eastAsia"/>
                <w:lang w:eastAsia="zh-CN"/>
              </w:rPr>
              <w:t xml:space="preserve"> is the last subframe in which the MPDCCH is transmitted; and</w:t>
            </w:r>
          </w:p>
          <w:p w14:paraId="1E65DC7A" w14:textId="78756A14" w:rsidR="003C74C8" w:rsidRPr="003C74C8" w:rsidRDefault="003C74C8" w:rsidP="003C74C8">
            <w:pPr>
              <w:ind w:left="568" w:hanging="284"/>
              <w:rPr>
                <w:i/>
                <w:lang w:eastAsia="zh-CN"/>
              </w:rPr>
            </w:pPr>
            <w:r w:rsidRPr="003C74C8">
              <w:rPr>
                <w:i/>
                <w:lang w:eastAsia="zh-CN"/>
              </w:rPr>
              <w:t>-</w:t>
            </w:r>
            <w:r w:rsidRPr="003C74C8">
              <w:rPr>
                <w:i/>
                <w:lang w:eastAsia="zh-CN"/>
              </w:rPr>
              <w:tab/>
            </w:r>
            <w:r w:rsidRPr="003C74C8">
              <w:rPr>
                <w:rFonts w:hint="eastAsia"/>
                <w:i/>
                <w:lang w:eastAsia="zh-CN"/>
              </w:rPr>
              <w:t>x</w:t>
            </w:r>
            <w:r w:rsidRPr="003C74C8">
              <w:rPr>
                <w:i/>
                <w:lang w:eastAsia="zh-CN"/>
              </w:rPr>
              <w:t>≤</w:t>
            </w:r>
            <w:r w:rsidRPr="003C74C8">
              <w:rPr>
                <w:rFonts w:hint="eastAsia"/>
                <w:i/>
                <w:lang w:eastAsia="zh-CN"/>
              </w:rPr>
              <w:t>k</w:t>
            </w:r>
            <w:r w:rsidRPr="003C74C8">
              <w:rPr>
                <w:rFonts w:hint="eastAsia"/>
                <w:i/>
                <w:vertAlign w:val="subscript"/>
                <w:lang w:eastAsia="zh-CN"/>
              </w:rPr>
              <w:t>0</w:t>
            </w:r>
            <w:r w:rsidRPr="003C74C8">
              <w:rPr>
                <w:rFonts w:hint="eastAsia"/>
                <w:i/>
                <w:lang w:eastAsia="zh-CN"/>
              </w:rPr>
              <w:t>&lt;k</w:t>
            </w:r>
            <w:r w:rsidRPr="003C74C8">
              <w:rPr>
                <w:rFonts w:hint="eastAsia"/>
                <w:i/>
                <w:vertAlign w:val="subscript"/>
                <w:lang w:eastAsia="zh-CN"/>
              </w:rPr>
              <w:t>1</w:t>
            </w:r>
            <w:r w:rsidRPr="003C74C8">
              <w:rPr>
                <w:rFonts w:hint="eastAsia"/>
                <w:i/>
                <w:lang w:eastAsia="zh-CN"/>
              </w:rPr>
              <w:t>&lt;</w:t>
            </w:r>
            <w:r w:rsidRPr="003C74C8">
              <w:rPr>
                <w:i/>
                <w:lang w:eastAsia="zh-CN"/>
              </w:rPr>
              <w:t>…</w:t>
            </w:r>
            <w:r w:rsidRPr="003C74C8">
              <w:rPr>
                <w:rFonts w:hint="eastAsia"/>
                <w:i/>
                <w:lang w:eastAsia="zh-CN"/>
              </w:rPr>
              <w:t>,k</w:t>
            </w:r>
            <w:r w:rsidRPr="003C74C8">
              <w:rPr>
                <w:rFonts w:hint="eastAsia"/>
                <w:i/>
                <w:vertAlign w:val="subscript"/>
                <w:lang w:eastAsia="zh-CN"/>
              </w:rPr>
              <w:t>N-1</w:t>
            </w:r>
            <w:r w:rsidRPr="003C74C8">
              <w:rPr>
                <w:rFonts w:hint="eastAsia"/>
                <w:lang w:eastAsia="zh-CN"/>
              </w:rPr>
              <w:t xml:space="preserve"> and the value of </w:t>
            </w:r>
            <w:r w:rsidRPr="003C74C8">
              <w:rPr>
                <w:rFonts w:eastAsia="Times New Roman"/>
                <w:noProof/>
                <w:position w:val="-12"/>
                <w:lang w:eastAsia="en-GB"/>
              </w:rPr>
              <w:drawing>
                <wp:inline distT="0" distB="0" distL="0" distR="0" wp14:anchorId="47756BFE" wp14:editId="2A4371E7">
                  <wp:extent cx="11506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50620" cy="213360"/>
                          </a:xfrm>
                          <a:prstGeom prst="rect">
                            <a:avLst/>
                          </a:prstGeom>
                          <a:noFill/>
                          <a:ln>
                            <a:noFill/>
                          </a:ln>
                        </pic:spPr>
                      </pic:pic>
                    </a:graphicData>
                  </a:graphic>
                </wp:inline>
              </w:drawing>
            </w:r>
            <w:r w:rsidRPr="003C74C8">
              <w:rPr>
                <w:rFonts w:hint="eastAsia"/>
                <w:lang w:eastAsia="zh-CN"/>
              </w:rPr>
              <w:t xml:space="preserve"> is determined by the </w:t>
            </w:r>
            <w:r w:rsidRPr="003C74C8">
              <w:rPr>
                <w:rFonts w:eastAsia="Times New Roman" w:hint="eastAsia"/>
                <w:i/>
                <w:lang w:eastAsia="zh-CN"/>
              </w:rPr>
              <w:t>repetition number</w:t>
            </w:r>
            <w:r w:rsidRPr="003C74C8">
              <w:rPr>
                <w:rFonts w:hint="eastAsia"/>
                <w:lang w:eastAsia="zh-CN"/>
              </w:rPr>
              <w:t xml:space="preserve"> </w:t>
            </w:r>
            <w:r w:rsidRPr="003C74C8">
              <w:rPr>
                <w:lang w:eastAsia="zh-CN"/>
              </w:rPr>
              <w:t xml:space="preserve">field </w:t>
            </w:r>
            <w:r w:rsidRPr="003C74C8">
              <w:rPr>
                <w:rFonts w:hint="eastAsia"/>
                <w:lang w:eastAsia="zh-CN"/>
              </w:rPr>
              <w:t>in the corresponding DCI</w:t>
            </w:r>
            <w:r w:rsidRPr="003C74C8">
              <w:rPr>
                <w:lang w:eastAsia="zh-CN"/>
              </w:rPr>
              <w:t xml:space="preserve">, where </w:t>
            </w:r>
            <w:r w:rsidRPr="003C74C8">
              <w:rPr>
                <w:rFonts w:eastAsia="Times New Roman"/>
                <w:noProof/>
                <w:position w:val="-12"/>
                <w:lang w:eastAsia="en-GB"/>
              </w:rPr>
              <w:drawing>
                <wp:inline distT="0" distB="0" distL="0" distR="0" wp14:anchorId="7EBCCEA8" wp14:editId="705D66DC">
                  <wp:extent cx="82296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22960" cy="228600"/>
                          </a:xfrm>
                          <a:prstGeom prst="rect">
                            <a:avLst/>
                          </a:prstGeom>
                          <a:noFill/>
                          <a:ln>
                            <a:noFill/>
                          </a:ln>
                        </pic:spPr>
                      </pic:pic>
                    </a:graphicData>
                  </a:graphic>
                </wp:inline>
              </w:drawing>
            </w:r>
            <w:r w:rsidRPr="003C74C8">
              <w:rPr>
                <w:rFonts w:eastAsia="Times New Roman"/>
                <w:lang w:eastAsia="en-GB"/>
              </w:rPr>
              <w:t>are given in</w:t>
            </w:r>
            <w:r w:rsidRPr="003C74C8">
              <w:rPr>
                <w:lang w:eastAsia="zh-CN"/>
              </w:rPr>
              <w:t xml:space="preserve"> Table 8-2b and Table 8-2c</w:t>
            </w:r>
            <w:r w:rsidRPr="003C74C8">
              <w:rPr>
                <w:rFonts w:hint="eastAsia"/>
                <w:lang w:eastAsia="zh-CN"/>
              </w:rPr>
              <w:t>; and</w:t>
            </w:r>
          </w:p>
          <w:p w14:paraId="44C803D2" w14:textId="77777777" w:rsidR="003C74C8" w:rsidRPr="003C74C8" w:rsidRDefault="003C74C8" w:rsidP="003C74C8">
            <w:pPr>
              <w:ind w:left="568" w:hanging="284"/>
              <w:rPr>
                <w:lang w:eastAsia="zh-CN"/>
              </w:rPr>
            </w:pPr>
            <w:r w:rsidRPr="003C74C8">
              <w:rPr>
                <w:lang w:eastAsia="zh-CN"/>
              </w:rPr>
              <w:t>-</w:t>
            </w:r>
            <w:r w:rsidRPr="003C74C8">
              <w:rPr>
                <w:lang w:eastAsia="zh-CN"/>
              </w:rPr>
              <w:tab/>
            </w:r>
            <w:r w:rsidRPr="003C74C8">
              <w:rPr>
                <w:rFonts w:hint="eastAsia"/>
                <w:lang w:eastAsia="zh-CN"/>
              </w:rPr>
              <w:t xml:space="preserve">in case </w:t>
            </w:r>
            <w:r w:rsidRPr="003C74C8">
              <w:rPr>
                <w:rFonts w:hint="eastAsia"/>
                <w:i/>
                <w:lang w:eastAsia="zh-CN"/>
              </w:rPr>
              <w:t>N&gt;1</w:t>
            </w:r>
            <w:r w:rsidRPr="003C74C8">
              <w:rPr>
                <w:rFonts w:hint="eastAsia"/>
                <w:lang w:eastAsia="zh-CN"/>
              </w:rPr>
              <w:t xml:space="preserve">, subframe(s) </w:t>
            </w:r>
            <w:r w:rsidRPr="003C74C8">
              <w:rPr>
                <w:rFonts w:hint="eastAsia"/>
                <w:i/>
                <w:lang w:eastAsia="zh-CN"/>
              </w:rPr>
              <w:t>n+k</w:t>
            </w:r>
            <w:r w:rsidRPr="003C74C8">
              <w:rPr>
                <w:rFonts w:hint="eastAsia"/>
                <w:i/>
                <w:vertAlign w:val="subscript"/>
                <w:lang w:eastAsia="zh-CN"/>
              </w:rPr>
              <w:t>i</w:t>
            </w:r>
            <w:r w:rsidRPr="003C74C8">
              <w:rPr>
                <w:rFonts w:hint="eastAsia"/>
                <w:i/>
                <w:lang w:eastAsia="zh-CN"/>
              </w:rPr>
              <w:t xml:space="preserve"> </w:t>
            </w:r>
            <w:r w:rsidRPr="003C74C8">
              <w:rPr>
                <w:rFonts w:hint="eastAsia"/>
                <w:lang w:eastAsia="zh-CN"/>
              </w:rPr>
              <w:t xml:space="preserve">with </w:t>
            </w:r>
            <w:r w:rsidRPr="003C74C8">
              <w:rPr>
                <w:rFonts w:hint="eastAsia"/>
                <w:i/>
                <w:lang w:eastAsia="zh-CN"/>
              </w:rPr>
              <w:t>i=0,1,</w:t>
            </w:r>
            <w:r w:rsidRPr="003C74C8">
              <w:rPr>
                <w:i/>
                <w:lang w:eastAsia="zh-CN"/>
              </w:rPr>
              <w:t>…</w:t>
            </w:r>
            <w:r w:rsidRPr="003C74C8">
              <w:rPr>
                <w:rFonts w:hint="eastAsia"/>
                <w:i/>
                <w:lang w:eastAsia="zh-CN"/>
              </w:rPr>
              <w:t>,N-1</w:t>
            </w:r>
            <w:r w:rsidRPr="003C74C8">
              <w:rPr>
                <w:rFonts w:hint="eastAsia"/>
                <w:lang w:eastAsia="zh-CN"/>
              </w:rPr>
              <w:t xml:space="preserve"> are </w:t>
            </w:r>
            <w:r w:rsidRPr="003C74C8">
              <w:rPr>
                <w:rFonts w:hint="eastAsia"/>
                <w:i/>
                <w:lang w:eastAsia="zh-CN"/>
              </w:rPr>
              <w:t>N</w:t>
            </w:r>
            <w:r w:rsidRPr="003C74C8">
              <w:rPr>
                <w:rFonts w:hint="eastAsia"/>
                <w:lang w:eastAsia="zh-CN"/>
              </w:rPr>
              <w:t xml:space="preserve"> consecutive </w:t>
            </w:r>
            <w:r w:rsidRPr="003C74C8">
              <w:rPr>
                <w:lang w:eastAsia="zh-CN"/>
              </w:rPr>
              <w:t xml:space="preserve">BL/CE </w:t>
            </w:r>
            <w:r w:rsidRPr="003C74C8">
              <w:rPr>
                <w:rFonts w:hint="eastAsia"/>
                <w:lang w:eastAsia="zh-CN"/>
              </w:rPr>
              <w:t xml:space="preserve">UL subframe(s) </w:t>
            </w:r>
            <w:r w:rsidRPr="003C74C8">
              <w:rPr>
                <w:lang w:eastAsia="zh-CN"/>
              </w:rPr>
              <w:t xml:space="preserve">starting with </w:t>
            </w:r>
            <w:r w:rsidRPr="003C74C8">
              <w:rPr>
                <w:rFonts w:hint="eastAsia"/>
                <w:lang w:eastAsia="zh-CN"/>
              </w:rPr>
              <w:t xml:space="preserve">subframe </w:t>
            </w:r>
            <w:r w:rsidRPr="003C74C8">
              <w:rPr>
                <w:rFonts w:hint="eastAsia"/>
                <w:i/>
                <w:lang w:eastAsia="zh-CN"/>
              </w:rPr>
              <w:t>n+x</w:t>
            </w:r>
            <w:r w:rsidRPr="003C74C8">
              <w:rPr>
                <w:rFonts w:hint="eastAsia"/>
                <w:lang w:eastAsia="zh-CN"/>
              </w:rPr>
              <w:t xml:space="preserve">, and in case </w:t>
            </w:r>
            <w:r w:rsidRPr="003C74C8">
              <w:rPr>
                <w:rFonts w:hint="eastAsia"/>
                <w:i/>
                <w:lang w:eastAsia="zh-CN"/>
              </w:rPr>
              <w:t>N=1</w:t>
            </w:r>
            <w:r w:rsidRPr="003C74C8">
              <w:rPr>
                <w:rFonts w:hint="eastAsia"/>
                <w:lang w:eastAsia="zh-CN"/>
              </w:rPr>
              <w:t xml:space="preserve">, </w:t>
            </w:r>
            <w:r w:rsidRPr="003C74C8">
              <w:rPr>
                <w:rFonts w:hint="eastAsia"/>
                <w:i/>
                <w:lang w:eastAsia="zh-CN"/>
              </w:rPr>
              <w:t>k</w:t>
            </w:r>
            <w:r w:rsidRPr="003C74C8">
              <w:rPr>
                <w:rFonts w:hint="eastAsia"/>
                <w:i/>
                <w:vertAlign w:val="subscript"/>
                <w:lang w:eastAsia="zh-CN"/>
              </w:rPr>
              <w:t>0</w:t>
            </w:r>
            <w:r w:rsidRPr="003C74C8">
              <w:rPr>
                <w:rFonts w:hint="eastAsia"/>
                <w:i/>
                <w:lang w:eastAsia="zh-CN"/>
              </w:rPr>
              <w:t>=x</w:t>
            </w:r>
            <w:r w:rsidRPr="003C74C8">
              <w:rPr>
                <w:rFonts w:hint="eastAsia"/>
                <w:lang w:eastAsia="zh-CN"/>
              </w:rPr>
              <w:t xml:space="preserve">; </w:t>
            </w:r>
          </w:p>
          <w:p w14:paraId="48475E6A" w14:textId="77777777" w:rsidR="003C74C8" w:rsidRPr="003C74C8" w:rsidRDefault="003C74C8" w:rsidP="003C74C8">
            <w:pPr>
              <w:ind w:left="568" w:hanging="284"/>
              <w:rPr>
                <w:lang w:eastAsia="zh-CN"/>
              </w:rPr>
            </w:pPr>
            <w:r w:rsidRPr="003C74C8">
              <w:rPr>
                <w:lang w:eastAsia="zh-CN"/>
              </w:rPr>
              <w:t>-</w:t>
            </w:r>
            <w:r w:rsidRPr="003C74C8">
              <w:rPr>
                <w:lang w:eastAsia="zh-CN"/>
              </w:rPr>
              <w:tab/>
            </w:r>
            <w:r w:rsidRPr="003C74C8">
              <w:rPr>
                <w:rFonts w:hint="eastAsia"/>
                <w:lang w:eastAsia="zh-CN"/>
              </w:rPr>
              <w:t xml:space="preserve">for FDD, </w:t>
            </w:r>
            <w:r w:rsidRPr="003C74C8">
              <w:rPr>
                <w:rFonts w:hint="eastAsia"/>
                <w:i/>
                <w:lang w:eastAsia="zh-CN"/>
              </w:rPr>
              <w:t>x = 4</w:t>
            </w:r>
            <w:r w:rsidRPr="003C74C8">
              <w:rPr>
                <w:rFonts w:hint="eastAsia"/>
                <w:lang w:eastAsia="zh-CN"/>
              </w:rPr>
              <w:t xml:space="preserve">; </w:t>
            </w:r>
          </w:p>
          <w:p w14:paraId="59F90CC1" w14:textId="05E5EA66" w:rsidR="00B10B4D" w:rsidRPr="005339E3" w:rsidRDefault="003C74C8" w:rsidP="008A157B">
            <w:pPr>
              <w:spacing w:before="240" w:after="240"/>
              <w:rPr>
                <w:iCs/>
              </w:rPr>
            </w:pPr>
            <w:r w:rsidRPr="005339E3">
              <w:rPr>
                <w:iCs/>
              </w:rPr>
              <w:t>…</w:t>
            </w:r>
          </w:p>
        </w:tc>
      </w:tr>
    </w:tbl>
    <w:p w14:paraId="561D3E5B" w14:textId="137FD335" w:rsidR="004C782E" w:rsidRDefault="00DA6763" w:rsidP="008A157B">
      <w:pPr>
        <w:spacing w:before="240" w:after="240"/>
        <w:jc w:val="both"/>
        <w:rPr>
          <w:iCs/>
          <w:sz w:val="22"/>
          <w:szCs w:val="22"/>
        </w:rPr>
      </w:pPr>
      <w:r w:rsidRPr="00DA6763">
        <w:rPr>
          <w:iCs/>
          <w:sz w:val="22"/>
          <w:szCs w:val="22"/>
        </w:rPr>
        <w:t xml:space="preserve">According to the above text, PUSCH is transmitted starting from UL subframe n+x, where n is last subframe of MPDCCH, x is subframe offset. Thus, if the TA is larger than x subframes non-causal PUSCH transmission </w:t>
      </w:r>
      <w:r w:rsidR="00CE4A5A">
        <w:rPr>
          <w:iCs/>
          <w:sz w:val="22"/>
          <w:szCs w:val="22"/>
        </w:rPr>
        <w:t>is expected</w:t>
      </w:r>
      <w:r w:rsidRPr="00DA6763">
        <w:rPr>
          <w:iCs/>
          <w:sz w:val="22"/>
          <w:szCs w:val="22"/>
        </w:rPr>
        <w:t xml:space="preserve"> (i.e. PUSCH transmission is before UL grant). </w:t>
      </w:r>
      <w:r>
        <w:rPr>
          <w:iCs/>
          <w:sz w:val="22"/>
          <w:szCs w:val="22"/>
        </w:rPr>
        <w:t xml:space="preserve">In order to avoid non-causal UE behaviour specification enhancements are needed for timing relationships for eMTC. </w:t>
      </w:r>
    </w:p>
    <w:p w14:paraId="726B4E48" w14:textId="185E5F9A" w:rsidR="004A2C4C" w:rsidRDefault="004A2C4C" w:rsidP="004A2C4C">
      <w:pPr>
        <w:spacing w:before="240" w:after="240"/>
        <w:jc w:val="both"/>
        <w:rPr>
          <w:iCs/>
          <w:sz w:val="22"/>
          <w:szCs w:val="22"/>
          <w:lang w:val="en-US"/>
        </w:rPr>
      </w:pPr>
      <w:r w:rsidRPr="001611C3">
        <w:rPr>
          <w:b/>
          <w:bCs/>
          <w:i/>
          <w:sz w:val="22"/>
          <w:szCs w:val="22"/>
          <w:lang w:val="en-US"/>
        </w:rPr>
        <w:t xml:space="preserve">Observation </w:t>
      </w:r>
      <w:r w:rsidR="00E52121">
        <w:rPr>
          <w:b/>
          <w:bCs/>
          <w:i/>
          <w:sz w:val="22"/>
          <w:szCs w:val="22"/>
          <w:lang w:val="en-US"/>
        </w:rPr>
        <w:t>2</w:t>
      </w:r>
      <w:r>
        <w:rPr>
          <w:iCs/>
          <w:sz w:val="22"/>
          <w:szCs w:val="22"/>
          <w:lang w:val="en-US"/>
        </w:rPr>
        <w:t xml:space="preserve">: </w:t>
      </w:r>
    </w:p>
    <w:p w14:paraId="7ECBFB0E" w14:textId="73A53D1B" w:rsidR="004A2C4C" w:rsidRPr="004A2C4C" w:rsidRDefault="004A2C4C" w:rsidP="008A157B">
      <w:pPr>
        <w:pStyle w:val="ListParagraph"/>
        <w:numPr>
          <w:ilvl w:val="0"/>
          <w:numId w:val="38"/>
        </w:numPr>
        <w:spacing w:before="240" w:after="240"/>
        <w:jc w:val="both"/>
        <w:rPr>
          <w:rFonts w:ascii="Times New Roman" w:hAnsi="Times New Roman"/>
          <w:i/>
        </w:rPr>
      </w:pPr>
      <w:r w:rsidRPr="001611C3">
        <w:rPr>
          <w:rFonts w:ascii="Times New Roman" w:hAnsi="Times New Roman"/>
          <w:i/>
        </w:rPr>
        <w:t>Specification enhancement</w:t>
      </w:r>
      <w:r>
        <w:rPr>
          <w:rFonts w:ascii="Times New Roman" w:hAnsi="Times New Roman"/>
          <w:i/>
        </w:rPr>
        <w:t>s</w:t>
      </w:r>
      <w:r w:rsidRPr="001611C3">
        <w:rPr>
          <w:rFonts w:ascii="Times New Roman" w:hAnsi="Times New Roman"/>
          <w:i/>
        </w:rPr>
        <w:t xml:space="preserve"> </w:t>
      </w:r>
      <w:r>
        <w:rPr>
          <w:rFonts w:ascii="Times New Roman" w:hAnsi="Times New Roman"/>
          <w:i/>
        </w:rPr>
        <w:t>are</w:t>
      </w:r>
      <w:r w:rsidRPr="001611C3">
        <w:rPr>
          <w:rFonts w:ascii="Times New Roman" w:hAnsi="Times New Roman"/>
          <w:i/>
        </w:rPr>
        <w:t xml:space="preserve"> needed for </w:t>
      </w:r>
      <w:r w:rsidR="001D4D7A">
        <w:rPr>
          <w:rFonts w:ascii="Times New Roman" w:hAnsi="Times New Roman"/>
          <w:i/>
        </w:rPr>
        <w:t>eMTC</w:t>
      </w:r>
      <w:r w:rsidRPr="001611C3">
        <w:rPr>
          <w:rFonts w:ascii="Times New Roman" w:hAnsi="Times New Roman"/>
          <w:i/>
        </w:rPr>
        <w:t xml:space="preserve"> timing relationships</w:t>
      </w:r>
    </w:p>
    <w:p w14:paraId="3E202959" w14:textId="0A38807D" w:rsidR="00530467" w:rsidRPr="00032AF7" w:rsidRDefault="00530467" w:rsidP="00530467">
      <w:pPr>
        <w:spacing w:before="240" w:after="240"/>
        <w:jc w:val="both"/>
        <w:rPr>
          <w:iCs/>
          <w:sz w:val="22"/>
          <w:szCs w:val="22"/>
        </w:rPr>
      </w:pPr>
      <w:r w:rsidRPr="00032AF7">
        <w:rPr>
          <w:iCs/>
          <w:sz w:val="22"/>
          <w:szCs w:val="22"/>
        </w:rPr>
        <w:t>In order to reduce UE complexity and UE cost NB-IoT and eMTC devices support half-duplex FDD</w:t>
      </w:r>
      <w:r w:rsidR="005B7827" w:rsidRPr="00032AF7">
        <w:rPr>
          <w:iCs/>
          <w:sz w:val="22"/>
          <w:szCs w:val="22"/>
        </w:rPr>
        <w:t xml:space="preserve"> mode. In such mode simultaneous transmission and reception is not possible as it is done in normal FDD operation. </w:t>
      </w:r>
      <w:r w:rsidR="00031486" w:rsidRPr="00032AF7">
        <w:rPr>
          <w:iCs/>
          <w:sz w:val="22"/>
          <w:szCs w:val="22"/>
        </w:rPr>
        <w:t>I</w:t>
      </w:r>
      <w:r w:rsidR="004E5362" w:rsidRPr="00032AF7">
        <w:rPr>
          <w:iCs/>
          <w:sz w:val="22"/>
          <w:szCs w:val="22"/>
        </w:rPr>
        <w:t xml:space="preserve">t is assumed that in order to achieve time synchronisation for UL transmission UE applies additional TA to compensate delay </w:t>
      </w:r>
      <w:r w:rsidR="004E5362" w:rsidRPr="00032AF7">
        <w:rPr>
          <w:iCs/>
          <w:sz w:val="22"/>
          <w:szCs w:val="22"/>
        </w:rPr>
        <w:lastRenderedPageBreak/>
        <w:t xml:space="preserve">introduced in the service link. The value of additional TA is calculated at the UE side autonomously based on GNSS information and satellite ephemeris. If the value of the additional delay is not known by the gNB, UL transmission can collide with DL reception at the UE side. </w:t>
      </w:r>
      <w:r w:rsidR="001956BE" w:rsidRPr="00032AF7">
        <w:rPr>
          <w:iCs/>
          <w:sz w:val="22"/>
          <w:szCs w:val="22"/>
        </w:rPr>
        <w:t xml:space="preserve">Hence, reporting of additional TA applied by the UE to compensate service link delay should be supported. </w:t>
      </w:r>
    </w:p>
    <w:p w14:paraId="337639E2" w14:textId="54A881FD" w:rsidR="001956BE" w:rsidRPr="00032AF7" w:rsidRDefault="001956BE" w:rsidP="00530467">
      <w:pPr>
        <w:spacing w:before="240" w:after="240"/>
        <w:jc w:val="both"/>
        <w:rPr>
          <w:iCs/>
          <w:sz w:val="22"/>
          <w:szCs w:val="22"/>
        </w:rPr>
      </w:pPr>
      <w:r w:rsidRPr="00032AF7">
        <w:rPr>
          <w:b/>
          <w:bCs/>
          <w:i/>
          <w:sz w:val="22"/>
          <w:szCs w:val="22"/>
        </w:rPr>
        <w:t xml:space="preserve">Proposal </w:t>
      </w:r>
      <w:r w:rsidR="00F02B6D">
        <w:rPr>
          <w:b/>
          <w:bCs/>
          <w:i/>
          <w:sz w:val="22"/>
          <w:szCs w:val="22"/>
        </w:rPr>
        <w:t>1</w:t>
      </w:r>
      <w:r w:rsidRPr="00032AF7">
        <w:rPr>
          <w:iCs/>
          <w:sz w:val="22"/>
          <w:szCs w:val="22"/>
        </w:rPr>
        <w:t xml:space="preserve">: </w:t>
      </w:r>
    </w:p>
    <w:p w14:paraId="08E26E35" w14:textId="03CF96EF" w:rsidR="001956BE" w:rsidRDefault="00840D14" w:rsidP="00840D14">
      <w:pPr>
        <w:pStyle w:val="ListParagraph"/>
        <w:numPr>
          <w:ilvl w:val="0"/>
          <w:numId w:val="35"/>
        </w:numPr>
        <w:spacing w:before="240" w:after="240"/>
        <w:jc w:val="both"/>
        <w:rPr>
          <w:rFonts w:ascii="Times New Roman" w:hAnsi="Times New Roman"/>
          <w:i/>
        </w:rPr>
      </w:pPr>
      <w:r w:rsidRPr="00032AF7">
        <w:rPr>
          <w:rFonts w:ascii="Times New Roman" w:hAnsi="Times New Roman"/>
          <w:i/>
        </w:rPr>
        <w:t xml:space="preserve">Reporting of additional TA applied by the UE to compensate service link delay calculated based on GNSS information and satellite ephemeris </w:t>
      </w:r>
      <w:r w:rsidR="00F02B6D">
        <w:rPr>
          <w:rFonts w:ascii="Times New Roman" w:hAnsi="Times New Roman"/>
          <w:i/>
        </w:rPr>
        <w:t>is necessary to enable half-duplex FDD operation</w:t>
      </w:r>
    </w:p>
    <w:p w14:paraId="4DDDF5DD" w14:textId="1A9814BE" w:rsidR="0011317B" w:rsidRDefault="0011317B" w:rsidP="0011317B">
      <w:pPr>
        <w:spacing w:before="240" w:after="240"/>
        <w:jc w:val="both"/>
        <w:rPr>
          <w:iCs/>
          <w:sz w:val="22"/>
          <w:szCs w:val="22"/>
          <w:lang w:val="en-US"/>
        </w:rPr>
      </w:pPr>
      <w:r w:rsidRPr="0011317B">
        <w:rPr>
          <w:iCs/>
          <w:sz w:val="22"/>
          <w:szCs w:val="22"/>
          <w:lang w:val="en-US"/>
        </w:rPr>
        <w:t xml:space="preserve">At the </w:t>
      </w:r>
      <w:r>
        <w:rPr>
          <w:iCs/>
          <w:sz w:val="22"/>
          <w:szCs w:val="22"/>
          <w:lang w:val="en-US"/>
        </w:rPr>
        <w:t xml:space="preserve">last RAN1 meeting the following agreement was made. </w:t>
      </w:r>
    </w:p>
    <w:tbl>
      <w:tblPr>
        <w:tblStyle w:val="TableGrid"/>
        <w:tblW w:w="0" w:type="auto"/>
        <w:tblLook w:val="04A0" w:firstRow="1" w:lastRow="0" w:firstColumn="1" w:lastColumn="0" w:noHBand="0" w:noVBand="1"/>
      </w:tblPr>
      <w:tblGrid>
        <w:gridCol w:w="10160"/>
      </w:tblGrid>
      <w:tr w:rsidR="0011317B" w14:paraId="136EB3A0" w14:textId="77777777" w:rsidTr="0011317B">
        <w:tc>
          <w:tcPr>
            <w:tcW w:w="10160" w:type="dxa"/>
          </w:tcPr>
          <w:p w14:paraId="644FE4D7" w14:textId="77777777" w:rsidR="0011317B" w:rsidRPr="0011317B" w:rsidRDefault="0011317B" w:rsidP="0011317B">
            <w:pPr>
              <w:overflowPunct/>
              <w:autoSpaceDE/>
              <w:autoSpaceDN/>
              <w:adjustRightInd/>
              <w:spacing w:after="0"/>
              <w:textAlignment w:val="auto"/>
              <w:rPr>
                <w:rFonts w:ascii="Times" w:eastAsia="Batang" w:hAnsi="Times"/>
                <w:szCs w:val="24"/>
                <w:lang w:eastAsia="x-none"/>
              </w:rPr>
            </w:pPr>
            <w:bookmarkStart w:id="2" w:name="_Hlk63428477"/>
            <w:r w:rsidRPr="0011317B">
              <w:rPr>
                <w:rFonts w:ascii="Times" w:eastAsia="Batang" w:hAnsi="Times"/>
                <w:szCs w:val="24"/>
                <w:highlight w:val="green"/>
                <w:lang w:eastAsia="x-none"/>
              </w:rPr>
              <w:t>Agreement:</w:t>
            </w:r>
          </w:p>
          <w:p w14:paraId="0C89898E" w14:textId="4D5998D0" w:rsidR="0011317B" w:rsidRPr="0011317B" w:rsidRDefault="0011317B" w:rsidP="0011317B">
            <w:pPr>
              <w:overflowPunct/>
              <w:autoSpaceDE/>
              <w:autoSpaceDN/>
              <w:adjustRightInd/>
              <w:textAlignment w:val="auto"/>
              <w:rPr>
                <w:rFonts w:ascii="Times" w:eastAsia="Batang" w:hAnsi="Times"/>
                <w:szCs w:val="24"/>
                <w:lang w:eastAsia="x-none"/>
              </w:rPr>
            </w:pPr>
            <w:r w:rsidRPr="0011317B">
              <w:rPr>
                <w:rFonts w:ascii="Times" w:eastAsia="Batang" w:hAnsi="Times"/>
                <w:szCs w:val="24"/>
                <w:lang w:eastAsia="x-none"/>
              </w:rPr>
              <w:t>Study the impact on any timing relationships for IoT-NTN due to the need to perform GNSS measurements for time and frequency synchronization</w:t>
            </w:r>
            <w:bookmarkEnd w:id="2"/>
          </w:p>
        </w:tc>
      </w:tr>
    </w:tbl>
    <w:p w14:paraId="57606DCD" w14:textId="69E95E20" w:rsidR="0011317B" w:rsidRDefault="0071159F" w:rsidP="0011317B">
      <w:pPr>
        <w:spacing w:before="240" w:after="240"/>
        <w:jc w:val="both"/>
        <w:rPr>
          <w:iCs/>
          <w:sz w:val="22"/>
          <w:szCs w:val="22"/>
          <w:lang w:val="en-US"/>
        </w:rPr>
      </w:pPr>
      <w:r>
        <w:rPr>
          <w:iCs/>
          <w:sz w:val="22"/>
          <w:szCs w:val="22"/>
          <w:lang w:val="en-US"/>
        </w:rPr>
        <w:t>In our view it is not necessary to consider the GNSS measurements for timing relationships specified in RAN1. It can be assumed that the UE performs GNSS measurements in time gaps without any impact on the timing relationships. For example, UE can perform the GNSS measurements before initial access. Assuming that typically NB-IoT and eMTC remain active for a short period of time</w:t>
      </w:r>
      <w:r w:rsidR="00A7108A">
        <w:rPr>
          <w:iCs/>
          <w:sz w:val="22"/>
          <w:szCs w:val="22"/>
          <w:lang w:val="en-US"/>
        </w:rPr>
        <w:t xml:space="preserve"> and UE velocity is up to 120 km/h,</w:t>
      </w:r>
      <w:r>
        <w:rPr>
          <w:iCs/>
          <w:sz w:val="22"/>
          <w:szCs w:val="22"/>
          <w:lang w:val="en-US"/>
        </w:rPr>
        <w:t xml:space="preserve"> GNSS measurements before initial access should be enough to maintain UL synchronization. </w:t>
      </w:r>
    </w:p>
    <w:p w14:paraId="38CCE40B" w14:textId="235DA42B" w:rsidR="00114CFE" w:rsidRDefault="00114CFE" w:rsidP="0011317B">
      <w:pPr>
        <w:spacing w:before="240" w:after="240"/>
        <w:jc w:val="both"/>
        <w:rPr>
          <w:iCs/>
          <w:sz w:val="22"/>
          <w:szCs w:val="22"/>
          <w:lang w:val="en-US"/>
        </w:rPr>
      </w:pPr>
      <w:r w:rsidRPr="00114CFE">
        <w:rPr>
          <w:b/>
          <w:bCs/>
          <w:i/>
          <w:sz w:val="22"/>
          <w:szCs w:val="22"/>
          <w:lang w:val="en-US"/>
        </w:rPr>
        <w:t>Proposal 2</w:t>
      </w:r>
      <w:r>
        <w:rPr>
          <w:iCs/>
          <w:sz w:val="22"/>
          <w:szCs w:val="22"/>
          <w:lang w:val="en-US"/>
        </w:rPr>
        <w:t>:</w:t>
      </w:r>
    </w:p>
    <w:p w14:paraId="5A6FCDED" w14:textId="3F593B76" w:rsidR="00114CFE" w:rsidRPr="00114CFE" w:rsidRDefault="00114CFE" w:rsidP="00114CFE">
      <w:pPr>
        <w:pStyle w:val="ListParagraph"/>
        <w:numPr>
          <w:ilvl w:val="0"/>
          <w:numId w:val="35"/>
        </w:numPr>
        <w:spacing w:before="240" w:after="240"/>
        <w:jc w:val="both"/>
        <w:rPr>
          <w:rFonts w:ascii="Times New Roman" w:hAnsi="Times New Roman"/>
          <w:i/>
        </w:rPr>
      </w:pPr>
      <w:r w:rsidRPr="00114CFE">
        <w:rPr>
          <w:rFonts w:ascii="Times New Roman" w:hAnsi="Times New Roman"/>
          <w:i/>
        </w:rPr>
        <w:t>It is assumed in RAN1 that there is no impact on timing relationships for IoT-NTN due to the need to perform GNSS measurements for time and frequency synchronization</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18133F3A" w:rsidR="00E17F6E" w:rsidRDefault="00E17F6E" w:rsidP="00C73CBB">
      <w:pPr>
        <w:jc w:val="both"/>
        <w:rPr>
          <w:sz w:val="22"/>
          <w:szCs w:val="22"/>
        </w:rPr>
      </w:pPr>
      <w:r w:rsidRPr="000B4ADF">
        <w:rPr>
          <w:sz w:val="22"/>
          <w:szCs w:val="22"/>
          <w:lang w:eastAsia="ko-KR"/>
        </w:rPr>
        <w:t>In this contribution aspects related to</w:t>
      </w:r>
      <w:r w:rsidR="00B85A0D">
        <w:rPr>
          <w:sz w:val="22"/>
          <w:szCs w:val="22"/>
          <w:lang w:eastAsia="ko-KR"/>
        </w:rPr>
        <w:t xml:space="preserve"> timing relationship</w:t>
      </w:r>
      <w:r w:rsidRPr="000B4ADF">
        <w:rPr>
          <w:sz w:val="22"/>
          <w:szCs w:val="22"/>
          <w:lang w:eastAsia="ko-KR"/>
        </w:rPr>
        <w:t xml:space="preserve"> </w:t>
      </w:r>
      <w:r w:rsidR="00435F07">
        <w:rPr>
          <w:sz w:val="22"/>
          <w:szCs w:val="22"/>
          <w:lang w:eastAsia="ko-KR"/>
        </w:rPr>
        <w:t>enhancements for NB-IoT/eMTC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w:t>
      </w:r>
      <w:r w:rsidR="00411A71">
        <w:rPr>
          <w:sz w:val="22"/>
          <w:szCs w:val="22"/>
        </w:rPr>
        <w:t xml:space="preserve"> and observations</w:t>
      </w:r>
      <w:r>
        <w:rPr>
          <w:sz w:val="22"/>
          <w:szCs w:val="22"/>
        </w:rPr>
        <w:t xml:space="preserve"> are made.</w:t>
      </w:r>
    </w:p>
    <w:p w14:paraId="3D288E49" w14:textId="77777777" w:rsidR="00411A71" w:rsidRDefault="00411A71" w:rsidP="00411A71">
      <w:pPr>
        <w:spacing w:before="240" w:after="240"/>
        <w:jc w:val="both"/>
        <w:rPr>
          <w:iCs/>
          <w:sz w:val="22"/>
          <w:szCs w:val="22"/>
          <w:lang w:val="en-US"/>
        </w:rPr>
      </w:pPr>
      <w:r w:rsidRPr="001611C3">
        <w:rPr>
          <w:b/>
          <w:bCs/>
          <w:i/>
          <w:sz w:val="22"/>
          <w:szCs w:val="22"/>
          <w:lang w:val="en-US"/>
        </w:rPr>
        <w:t>Observation 1</w:t>
      </w:r>
      <w:r>
        <w:rPr>
          <w:iCs/>
          <w:sz w:val="22"/>
          <w:szCs w:val="22"/>
          <w:lang w:val="en-US"/>
        </w:rPr>
        <w:t xml:space="preserve">: </w:t>
      </w:r>
    </w:p>
    <w:p w14:paraId="57E74AC7" w14:textId="77777777" w:rsidR="00411A71" w:rsidRDefault="00411A71" w:rsidP="00411A71">
      <w:pPr>
        <w:pStyle w:val="ListParagraph"/>
        <w:numPr>
          <w:ilvl w:val="0"/>
          <w:numId w:val="38"/>
        </w:numPr>
        <w:spacing w:before="240" w:after="240"/>
        <w:jc w:val="both"/>
        <w:rPr>
          <w:rFonts w:ascii="Times New Roman" w:hAnsi="Times New Roman"/>
          <w:i/>
        </w:rPr>
      </w:pPr>
      <w:r w:rsidRPr="001611C3">
        <w:rPr>
          <w:rFonts w:ascii="Times New Roman" w:hAnsi="Times New Roman"/>
          <w:i/>
        </w:rPr>
        <w:t>Specification enhancement</w:t>
      </w:r>
      <w:r>
        <w:rPr>
          <w:rFonts w:ascii="Times New Roman" w:hAnsi="Times New Roman"/>
          <w:i/>
        </w:rPr>
        <w:t>s</w:t>
      </w:r>
      <w:r w:rsidRPr="001611C3">
        <w:rPr>
          <w:rFonts w:ascii="Times New Roman" w:hAnsi="Times New Roman"/>
          <w:i/>
        </w:rPr>
        <w:t xml:space="preserve"> </w:t>
      </w:r>
      <w:r>
        <w:rPr>
          <w:rFonts w:ascii="Times New Roman" w:hAnsi="Times New Roman"/>
          <w:i/>
        </w:rPr>
        <w:t>are</w:t>
      </w:r>
      <w:r w:rsidRPr="001611C3">
        <w:rPr>
          <w:rFonts w:ascii="Times New Roman" w:hAnsi="Times New Roman"/>
          <w:i/>
        </w:rPr>
        <w:t xml:space="preserve"> needed for NB-IoT timing relationships</w:t>
      </w:r>
    </w:p>
    <w:p w14:paraId="5563DF0A" w14:textId="77777777" w:rsidR="005F5E64" w:rsidRDefault="005F5E64" w:rsidP="005F5E64">
      <w:pPr>
        <w:spacing w:before="240" w:after="240"/>
        <w:jc w:val="both"/>
        <w:rPr>
          <w:iCs/>
          <w:sz w:val="22"/>
          <w:szCs w:val="22"/>
          <w:lang w:val="en-US"/>
        </w:rPr>
      </w:pPr>
      <w:r w:rsidRPr="001611C3">
        <w:rPr>
          <w:b/>
          <w:bCs/>
          <w:i/>
          <w:sz w:val="22"/>
          <w:szCs w:val="22"/>
          <w:lang w:val="en-US"/>
        </w:rPr>
        <w:t xml:space="preserve">Observation </w:t>
      </w:r>
      <w:r>
        <w:rPr>
          <w:b/>
          <w:bCs/>
          <w:i/>
          <w:sz w:val="22"/>
          <w:szCs w:val="22"/>
          <w:lang w:val="en-US"/>
        </w:rPr>
        <w:t>2</w:t>
      </w:r>
      <w:r>
        <w:rPr>
          <w:iCs/>
          <w:sz w:val="22"/>
          <w:szCs w:val="22"/>
          <w:lang w:val="en-US"/>
        </w:rPr>
        <w:t xml:space="preserve">: </w:t>
      </w:r>
    </w:p>
    <w:p w14:paraId="73706F93" w14:textId="77777777" w:rsidR="005F5E64" w:rsidRPr="004A2C4C" w:rsidRDefault="005F5E64" w:rsidP="005F5E64">
      <w:pPr>
        <w:pStyle w:val="ListParagraph"/>
        <w:numPr>
          <w:ilvl w:val="0"/>
          <w:numId w:val="38"/>
        </w:numPr>
        <w:spacing w:before="240" w:after="240"/>
        <w:jc w:val="both"/>
        <w:rPr>
          <w:rFonts w:ascii="Times New Roman" w:hAnsi="Times New Roman"/>
          <w:i/>
        </w:rPr>
      </w:pPr>
      <w:r w:rsidRPr="001611C3">
        <w:rPr>
          <w:rFonts w:ascii="Times New Roman" w:hAnsi="Times New Roman"/>
          <w:i/>
        </w:rPr>
        <w:t>Specification enhancement</w:t>
      </w:r>
      <w:r>
        <w:rPr>
          <w:rFonts w:ascii="Times New Roman" w:hAnsi="Times New Roman"/>
          <w:i/>
        </w:rPr>
        <w:t>s</w:t>
      </w:r>
      <w:r w:rsidRPr="001611C3">
        <w:rPr>
          <w:rFonts w:ascii="Times New Roman" w:hAnsi="Times New Roman"/>
          <w:i/>
        </w:rPr>
        <w:t xml:space="preserve"> </w:t>
      </w:r>
      <w:r>
        <w:rPr>
          <w:rFonts w:ascii="Times New Roman" w:hAnsi="Times New Roman"/>
          <w:i/>
        </w:rPr>
        <w:t>are</w:t>
      </w:r>
      <w:r w:rsidRPr="001611C3">
        <w:rPr>
          <w:rFonts w:ascii="Times New Roman" w:hAnsi="Times New Roman"/>
          <w:i/>
        </w:rPr>
        <w:t xml:space="preserve"> needed for </w:t>
      </w:r>
      <w:r>
        <w:rPr>
          <w:rFonts w:ascii="Times New Roman" w:hAnsi="Times New Roman"/>
          <w:i/>
        </w:rPr>
        <w:t>eMTC</w:t>
      </w:r>
      <w:r w:rsidRPr="001611C3">
        <w:rPr>
          <w:rFonts w:ascii="Times New Roman" w:hAnsi="Times New Roman"/>
          <w:i/>
        </w:rPr>
        <w:t xml:space="preserve"> timing relationships</w:t>
      </w:r>
    </w:p>
    <w:p w14:paraId="0C5F558B" w14:textId="77777777" w:rsidR="005F5E64" w:rsidRPr="00032AF7" w:rsidRDefault="005F5E64" w:rsidP="005F5E64">
      <w:pPr>
        <w:spacing w:before="240" w:after="240"/>
        <w:jc w:val="both"/>
        <w:rPr>
          <w:iCs/>
          <w:sz w:val="22"/>
          <w:szCs w:val="22"/>
        </w:rPr>
      </w:pPr>
      <w:r w:rsidRPr="00032AF7">
        <w:rPr>
          <w:b/>
          <w:bCs/>
          <w:i/>
          <w:sz w:val="22"/>
          <w:szCs w:val="22"/>
        </w:rPr>
        <w:t xml:space="preserve">Proposal </w:t>
      </w:r>
      <w:r>
        <w:rPr>
          <w:b/>
          <w:bCs/>
          <w:i/>
          <w:sz w:val="22"/>
          <w:szCs w:val="22"/>
        </w:rPr>
        <w:t>1</w:t>
      </w:r>
      <w:r w:rsidRPr="00032AF7">
        <w:rPr>
          <w:iCs/>
          <w:sz w:val="22"/>
          <w:szCs w:val="22"/>
        </w:rPr>
        <w:t xml:space="preserve">: </w:t>
      </w:r>
    </w:p>
    <w:p w14:paraId="40616D78" w14:textId="77777777" w:rsidR="005F5E64" w:rsidRDefault="005F5E64" w:rsidP="005F5E64">
      <w:pPr>
        <w:pStyle w:val="ListParagraph"/>
        <w:numPr>
          <w:ilvl w:val="0"/>
          <w:numId w:val="35"/>
        </w:numPr>
        <w:spacing w:before="240" w:after="240"/>
        <w:jc w:val="both"/>
        <w:rPr>
          <w:rFonts w:ascii="Times New Roman" w:hAnsi="Times New Roman"/>
          <w:i/>
        </w:rPr>
      </w:pPr>
      <w:r w:rsidRPr="00032AF7">
        <w:rPr>
          <w:rFonts w:ascii="Times New Roman" w:hAnsi="Times New Roman"/>
          <w:i/>
        </w:rPr>
        <w:t xml:space="preserve">Reporting of additional TA applied by the UE to compensate service link delay calculated based on GNSS information and satellite ephemeris </w:t>
      </w:r>
      <w:r>
        <w:rPr>
          <w:rFonts w:ascii="Times New Roman" w:hAnsi="Times New Roman"/>
          <w:i/>
        </w:rPr>
        <w:t>is necessary to enable half-duplex FDD operation</w:t>
      </w:r>
    </w:p>
    <w:p w14:paraId="29349CB5" w14:textId="77777777" w:rsidR="005F5E64" w:rsidRDefault="005F5E64" w:rsidP="005F5E64">
      <w:pPr>
        <w:spacing w:before="240" w:after="240"/>
        <w:jc w:val="both"/>
        <w:rPr>
          <w:iCs/>
          <w:sz w:val="22"/>
          <w:szCs w:val="22"/>
          <w:lang w:val="en-US"/>
        </w:rPr>
      </w:pPr>
      <w:r w:rsidRPr="00114CFE">
        <w:rPr>
          <w:b/>
          <w:bCs/>
          <w:i/>
          <w:sz w:val="22"/>
          <w:szCs w:val="22"/>
          <w:lang w:val="en-US"/>
        </w:rPr>
        <w:t>Proposal 2</w:t>
      </w:r>
      <w:r>
        <w:rPr>
          <w:iCs/>
          <w:sz w:val="22"/>
          <w:szCs w:val="22"/>
          <w:lang w:val="en-US"/>
        </w:rPr>
        <w:t>:</w:t>
      </w:r>
    </w:p>
    <w:p w14:paraId="6D730D4B" w14:textId="10CAEDA4" w:rsidR="00B85A0D" w:rsidRPr="0050089D" w:rsidRDefault="005F5E64" w:rsidP="0037782F">
      <w:pPr>
        <w:pStyle w:val="ListParagraph"/>
        <w:numPr>
          <w:ilvl w:val="0"/>
          <w:numId w:val="35"/>
        </w:numPr>
        <w:spacing w:before="240" w:after="240"/>
        <w:jc w:val="both"/>
        <w:rPr>
          <w:rFonts w:ascii="Times New Roman" w:hAnsi="Times New Roman"/>
          <w:i/>
        </w:rPr>
      </w:pPr>
      <w:r w:rsidRPr="00114CFE">
        <w:rPr>
          <w:rFonts w:ascii="Times New Roman" w:hAnsi="Times New Roman"/>
          <w:i/>
        </w:rPr>
        <w:t>It is assumed in RAN1 that there is no impact on timing relationships for IoT-NTN due to the need to perform GNSS measurements for time and frequency synchronization</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6AD1C635" w14:textId="77777777" w:rsidR="001F3607" w:rsidRPr="005C3FE0" w:rsidRDefault="001F3607" w:rsidP="001F3607">
      <w:pPr>
        <w:numPr>
          <w:ilvl w:val="0"/>
          <w:numId w:val="2"/>
        </w:numPr>
        <w:rPr>
          <w:sz w:val="22"/>
          <w:lang w:eastAsia="zh-CN"/>
        </w:rPr>
      </w:pPr>
      <w:r w:rsidRPr="00552F61">
        <w:rPr>
          <w:sz w:val="22"/>
        </w:rPr>
        <w:t>RP-193235</w:t>
      </w:r>
      <w:r w:rsidRPr="005C3FE0">
        <w:rPr>
          <w:sz w:val="22"/>
        </w:rPr>
        <w:t xml:space="preserve"> </w:t>
      </w:r>
      <w:r w:rsidRPr="00D3068D">
        <w:rPr>
          <w:sz w:val="22"/>
        </w:rPr>
        <w:t>Study on NB-Io/eMTC support for Non-Terrestrial Network</w:t>
      </w:r>
    </w:p>
    <w:p w14:paraId="21022B0E" w14:textId="50BEF31C" w:rsidR="005B7827" w:rsidRDefault="00CF7DE4" w:rsidP="00EB0F07">
      <w:pPr>
        <w:numPr>
          <w:ilvl w:val="0"/>
          <w:numId w:val="2"/>
        </w:numPr>
        <w:rPr>
          <w:sz w:val="22"/>
          <w:lang w:eastAsia="zh-CN"/>
        </w:rPr>
      </w:pPr>
      <w:r w:rsidRPr="001F3607">
        <w:rPr>
          <w:sz w:val="22"/>
          <w:lang w:eastAsia="zh-CN"/>
        </w:rPr>
        <w:t>3GPP TR 38.821 V16.0.0 (2019-12)</w:t>
      </w:r>
      <w:r w:rsidR="00EB57B2" w:rsidRPr="001F3607">
        <w:rPr>
          <w:sz w:val="22"/>
          <w:lang w:eastAsia="zh-CN"/>
        </w:rPr>
        <w:t>;</w:t>
      </w:r>
      <w:r w:rsidRPr="001F3607">
        <w:rPr>
          <w:sz w:val="22"/>
          <w:lang w:eastAsia="zh-CN"/>
        </w:rPr>
        <w:t xml:space="preserve"> 3rd Generation Partnership Project; Technical Specification Group Radio Access Network; Solutions for NR to support non-terrestrial networks (NTN) (Release 16)</w:t>
      </w:r>
    </w:p>
    <w:p w14:paraId="488159D4" w14:textId="19020E76" w:rsidR="00BF327D" w:rsidRPr="004A1791" w:rsidRDefault="00BF327D" w:rsidP="00EB0F07">
      <w:pPr>
        <w:numPr>
          <w:ilvl w:val="0"/>
          <w:numId w:val="2"/>
        </w:numPr>
        <w:rPr>
          <w:sz w:val="22"/>
          <w:lang w:eastAsia="zh-CN"/>
        </w:rPr>
      </w:pPr>
      <w:r w:rsidRPr="00BF327D">
        <w:rPr>
          <w:sz w:val="22"/>
          <w:lang w:eastAsia="zh-CN"/>
        </w:rPr>
        <w:t>RAN1 Chairman’s Notes</w:t>
      </w:r>
      <w:r>
        <w:rPr>
          <w:sz w:val="22"/>
          <w:lang w:val="en-US" w:eastAsia="zh-CN"/>
        </w:rPr>
        <w:t xml:space="preserve">; </w:t>
      </w:r>
      <w:r w:rsidRPr="00BF327D">
        <w:rPr>
          <w:sz w:val="22"/>
          <w:lang w:val="en-US" w:eastAsia="zh-CN"/>
        </w:rPr>
        <w:t>3GPP TSG RAN WG1 Meeting #104-e</w:t>
      </w:r>
    </w:p>
    <w:p w14:paraId="3EE22B02" w14:textId="71D58EA0" w:rsidR="005D52E9" w:rsidRPr="005D52E9" w:rsidRDefault="005D52E9" w:rsidP="00040B6B">
      <w:pPr>
        <w:numPr>
          <w:ilvl w:val="0"/>
          <w:numId w:val="2"/>
        </w:numPr>
        <w:rPr>
          <w:sz w:val="22"/>
          <w:lang w:eastAsia="zh-CN"/>
        </w:rPr>
      </w:pPr>
      <w:r w:rsidRPr="005D52E9">
        <w:rPr>
          <w:sz w:val="22"/>
          <w:lang w:eastAsia="zh-CN"/>
        </w:rPr>
        <w:t>3GPP TS 36.211 V13.10.0 (2018-06); 3rd Generation Partnership Project; Technical Specification Group Radio Access Network; Evolved Universal Terrestrial Radio Access (E-UTRA); Physical channels and modulation (Release 13)</w:t>
      </w:r>
    </w:p>
    <w:p w14:paraId="7EF180E2" w14:textId="3B4771B6" w:rsidR="004A1791" w:rsidRPr="004A1791" w:rsidRDefault="004A1791" w:rsidP="00CA61E0">
      <w:pPr>
        <w:numPr>
          <w:ilvl w:val="0"/>
          <w:numId w:val="2"/>
        </w:numPr>
        <w:rPr>
          <w:sz w:val="22"/>
          <w:lang w:eastAsia="zh-CN"/>
        </w:rPr>
      </w:pPr>
      <w:r w:rsidRPr="004A1791">
        <w:rPr>
          <w:sz w:val="22"/>
          <w:lang w:eastAsia="zh-CN"/>
        </w:rPr>
        <w:t>3GPP TS 36.213 V13.8.0 (2017-12), 3rd Generation Partnership Project; Technical Specification Group Radio Access Network; Evolved Universal Terrestrial Radio Access (E-UTRA); Physical layer procedures</w:t>
      </w:r>
      <w:r>
        <w:rPr>
          <w:sz w:val="22"/>
          <w:lang w:eastAsia="zh-CN"/>
        </w:rPr>
        <w:t xml:space="preserve"> </w:t>
      </w:r>
      <w:r w:rsidRPr="004A1791">
        <w:rPr>
          <w:sz w:val="22"/>
          <w:lang w:eastAsia="zh-CN"/>
        </w:rPr>
        <w:t>(Release 13)</w:t>
      </w:r>
    </w:p>
    <w:sectPr w:rsidR="004A1791" w:rsidRPr="004A1791" w:rsidSect="00733B1F">
      <w:headerReference w:type="even" r:id="rId37"/>
      <w:headerReference w:type="default" r:id="rId38"/>
      <w:footerReference w:type="even" r:id="rId39"/>
      <w:footerReference w:type="default" r:id="rId40"/>
      <w:headerReference w:type="first" r:id="rId41"/>
      <w:footerReference w:type="first" r:id="rId4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3E4D6" w14:textId="77777777" w:rsidR="00182939" w:rsidRDefault="00182939">
      <w:r>
        <w:separator/>
      </w:r>
    </w:p>
  </w:endnote>
  <w:endnote w:type="continuationSeparator" w:id="0">
    <w:p w14:paraId="742656F8" w14:textId="77777777" w:rsidR="00182939" w:rsidRDefault="0018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EB26D" w14:textId="77777777" w:rsidR="00182939" w:rsidRDefault="00182939">
      <w:r>
        <w:separator/>
      </w:r>
    </w:p>
  </w:footnote>
  <w:footnote w:type="continuationSeparator" w:id="0">
    <w:p w14:paraId="1955BBFB" w14:textId="77777777" w:rsidR="00182939" w:rsidRDefault="00182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CC0F7A"/>
    <w:multiLevelType w:val="hybridMultilevel"/>
    <w:tmpl w:val="FE78E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3C6A2E"/>
    <w:multiLevelType w:val="hybridMultilevel"/>
    <w:tmpl w:val="8B10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075AB2"/>
    <w:multiLevelType w:val="hybridMultilevel"/>
    <w:tmpl w:val="76E81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9"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87D2DDC"/>
    <w:multiLevelType w:val="hybridMultilevel"/>
    <w:tmpl w:val="274E3F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A3438CE"/>
    <w:multiLevelType w:val="multilevel"/>
    <w:tmpl w:val="4DF63B30"/>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9B5C01"/>
    <w:multiLevelType w:val="hybridMultilevel"/>
    <w:tmpl w:val="1C765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8"/>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1"/>
  </w:num>
  <w:num w:numId="7">
    <w:abstractNumId w:val="3"/>
  </w:num>
  <w:num w:numId="8">
    <w:abstractNumId w:val="34"/>
  </w:num>
  <w:num w:numId="9">
    <w:abstractNumId w:val="1"/>
  </w:num>
  <w:num w:numId="10">
    <w:abstractNumId w:val="2"/>
  </w:num>
  <w:num w:numId="11">
    <w:abstractNumId w:val="4"/>
  </w:num>
  <w:num w:numId="12">
    <w:abstractNumId w:val="7"/>
  </w:num>
  <w:num w:numId="13">
    <w:abstractNumId w:val="29"/>
  </w:num>
  <w:num w:numId="14">
    <w:abstractNumId w:val="37"/>
  </w:num>
  <w:num w:numId="15">
    <w:abstractNumId w:val="5"/>
  </w:num>
  <w:num w:numId="16">
    <w:abstractNumId w:val="17"/>
  </w:num>
  <w:num w:numId="17">
    <w:abstractNumId w:val="27"/>
  </w:num>
  <w:num w:numId="18">
    <w:abstractNumId w:val="21"/>
  </w:num>
  <w:num w:numId="19">
    <w:abstractNumId w:val="20"/>
  </w:num>
  <w:num w:numId="20">
    <w:abstractNumId w:val="30"/>
  </w:num>
  <w:num w:numId="21">
    <w:abstractNumId w:val="36"/>
  </w:num>
  <w:num w:numId="22">
    <w:abstractNumId w:val="8"/>
  </w:num>
  <w:num w:numId="23">
    <w:abstractNumId w:val="35"/>
  </w:num>
  <w:num w:numId="24">
    <w:abstractNumId w:val="24"/>
  </w:num>
  <w:num w:numId="25">
    <w:abstractNumId w:val="6"/>
  </w:num>
  <w:num w:numId="26">
    <w:abstractNumId w:val="15"/>
  </w:num>
  <w:num w:numId="27">
    <w:abstractNumId w:val="13"/>
  </w:num>
  <w:num w:numId="28">
    <w:abstractNumId w:val="18"/>
  </w:num>
  <w:num w:numId="29">
    <w:abstractNumId w:val="25"/>
  </w:num>
  <w:num w:numId="30">
    <w:abstractNumId w:val="19"/>
  </w:num>
  <w:num w:numId="31">
    <w:abstractNumId w:val="26"/>
  </w:num>
  <w:num w:numId="32">
    <w:abstractNumId w:val="14"/>
  </w:num>
  <w:num w:numId="33">
    <w:abstractNumId w:val="9"/>
  </w:num>
  <w:num w:numId="34">
    <w:abstractNumId w:val="10"/>
  </w:num>
  <w:num w:numId="35">
    <w:abstractNumId w:val="33"/>
  </w:num>
  <w:num w:numId="36">
    <w:abstractNumId w:val="28"/>
  </w:num>
  <w:num w:numId="37">
    <w:abstractNumId w:val="32"/>
  </w:num>
  <w:num w:numId="3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0C8"/>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2AD"/>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486"/>
    <w:rsid w:val="00031675"/>
    <w:rsid w:val="00031734"/>
    <w:rsid w:val="00031EDD"/>
    <w:rsid w:val="00032043"/>
    <w:rsid w:val="000321DC"/>
    <w:rsid w:val="00032A64"/>
    <w:rsid w:val="00032AF7"/>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29"/>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E8"/>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B87"/>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60"/>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CCE"/>
    <w:rsid w:val="000B0FF3"/>
    <w:rsid w:val="000B10AB"/>
    <w:rsid w:val="000B17A1"/>
    <w:rsid w:val="000B193E"/>
    <w:rsid w:val="000B1B47"/>
    <w:rsid w:val="000B1CD3"/>
    <w:rsid w:val="000B256B"/>
    <w:rsid w:val="000B26B1"/>
    <w:rsid w:val="000B2AAA"/>
    <w:rsid w:val="000B2B42"/>
    <w:rsid w:val="000B2B61"/>
    <w:rsid w:val="000B32D4"/>
    <w:rsid w:val="000B3658"/>
    <w:rsid w:val="000B366F"/>
    <w:rsid w:val="000B38DA"/>
    <w:rsid w:val="000B3F37"/>
    <w:rsid w:val="000B40E0"/>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3D9"/>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17B"/>
    <w:rsid w:val="001134DA"/>
    <w:rsid w:val="0011372B"/>
    <w:rsid w:val="001138BF"/>
    <w:rsid w:val="00113D8F"/>
    <w:rsid w:val="0011402C"/>
    <w:rsid w:val="001140FA"/>
    <w:rsid w:val="001141CF"/>
    <w:rsid w:val="00114379"/>
    <w:rsid w:val="001146A3"/>
    <w:rsid w:val="001146C6"/>
    <w:rsid w:val="001147B8"/>
    <w:rsid w:val="00114949"/>
    <w:rsid w:val="00114A39"/>
    <w:rsid w:val="00114CFE"/>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D05"/>
    <w:rsid w:val="001574F9"/>
    <w:rsid w:val="0015790D"/>
    <w:rsid w:val="00157D41"/>
    <w:rsid w:val="00157FE4"/>
    <w:rsid w:val="0016019C"/>
    <w:rsid w:val="0016049F"/>
    <w:rsid w:val="00160674"/>
    <w:rsid w:val="00160786"/>
    <w:rsid w:val="00160EC9"/>
    <w:rsid w:val="001611C3"/>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B7B"/>
    <w:rsid w:val="00180E60"/>
    <w:rsid w:val="00181057"/>
    <w:rsid w:val="001817BA"/>
    <w:rsid w:val="001818A9"/>
    <w:rsid w:val="00181B3A"/>
    <w:rsid w:val="001820B2"/>
    <w:rsid w:val="001821E9"/>
    <w:rsid w:val="001824D2"/>
    <w:rsid w:val="00182608"/>
    <w:rsid w:val="00182939"/>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3AEA"/>
    <w:rsid w:val="00194465"/>
    <w:rsid w:val="00194A1E"/>
    <w:rsid w:val="00194A69"/>
    <w:rsid w:val="00194FBD"/>
    <w:rsid w:val="00194FCD"/>
    <w:rsid w:val="00195362"/>
    <w:rsid w:val="001956BE"/>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858"/>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51A"/>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D7A"/>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607"/>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1A4"/>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1F3"/>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47F"/>
    <w:rsid w:val="002744AB"/>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3F33"/>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B1B"/>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50C"/>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323"/>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796"/>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EDC"/>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1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31"/>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7782F"/>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D3B"/>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4C8"/>
    <w:rsid w:val="003C75E4"/>
    <w:rsid w:val="003C78C0"/>
    <w:rsid w:val="003C79A4"/>
    <w:rsid w:val="003C7BD6"/>
    <w:rsid w:val="003C7CF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260"/>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A71"/>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5F07"/>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9FE"/>
    <w:rsid w:val="00491E30"/>
    <w:rsid w:val="004924E5"/>
    <w:rsid w:val="00492619"/>
    <w:rsid w:val="004926A8"/>
    <w:rsid w:val="004926EF"/>
    <w:rsid w:val="00492CE6"/>
    <w:rsid w:val="00492D3C"/>
    <w:rsid w:val="00492DD2"/>
    <w:rsid w:val="00492ECB"/>
    <w:rsid w:val="00493008"/>
    <w:rsid w:val="0049318A"/>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791"/>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C4C"/>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BE5"/>
    <w:rsid w:val="004C0EA7"/>
    <w:rsid w:val="004C0F99"/>
    <w:rsid w:val="004C11B7"/>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2E"/>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D7E97"/>
    <w:rsid w:val="004D7F3E"/>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62"/>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89D"/>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2CD"/>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2D6"/>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B72"/>
    <w:rsid w:val="00526C8A"/>
    <w:rsid w:val="00526E75"/>
    <w:rsid w:val="005273CB"/>
    <w:rsid w:val="005273E8"/>
    <w:rsid w:val="00527489"/>
    <w:rsid w:val="0053012B"/>
    <w:rsid w:val="00530467"/>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39E3"/>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790"/>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376"/>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74A"/>
    <w:rsid w:val="00565878"/>
    <w:rsid w:val="00565BEA"/>
    <w:rsid w:val="00565D4C"/>
    <w:rsid w:val="0056636D"/>
    <w:rsid w:val="0056668C"/>
    <w:rsid w:val="005667B1"/>
    <w:rsid w:val="005669E3"/>
    <w:rsid w:val="00566A42"/>
    <w:rsid w:val="00566CBC"/>
    <w:rsid w:val="0056719E"/>
    <w:rsid w:val="0056747F"/>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3CAC"/>
    <w:rsid w:val="005A40D5"/>
    <w:rsid w:val="005A438E"/>
    <w:rsid w:val="005A4458"/>
    <w:rsid w:val="005A4631"/>
    <w:rsid w:val="005A4962"/>
    <w:rsid w:val="005A4967"/>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827"/>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0CD"/>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2E9"/>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5E64"/>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58"/>
    <w:rsid w:val="00635B84"/>
    <w:rsid w:val="00635EDA"/>
    <w:rsid w:val="00635EDC"/>
    <w:rsid w:val="00635F56"/>
    <w:rsid w:val="00636094"/>
    <w:rsid w:val="0063654B"/>
    <w:rsid w:val="0063681F"/>
    <w:rsid w:val="00636A76"/>
    <w:rsid w:val="00636CF5"/>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CF1"/>
    <w:rsid w:val="00650D1E"/>
    <w:rsid w:val="00650EB8"/>
    <w:rsid w:val="00650ECE"/>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EDE"/>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A0"/>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59F"/>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95"/>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E3E"/>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557"/>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0A3"/>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03D"/>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4BE"/>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26"/>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10A"/>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1A95"/>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14"/>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1A"/>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C24"/>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9C5"/>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57B"/>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1C0"/>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EA3"/>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979"/>
    <w:rsid w:val="00903F59"/>
    <w:rsid w:val="0090411E"/>
    <w:rsid w:val="009045C7"/>
    <w:rsid w:val="0090480E"/>
    <w:rsid w:val="00904A52"/>
    <w:rsid w:val="00904A62"/>
    <w:rsid w:val="00904B6D"/>
    <w:rsid w:val="00904E1D"/>
    <w:rsid w:val="009054E7"/>
    <w:rsid w:val="00905A06"/>
    <w:rsid w:val="00905E2D"/>
    <w:rsid w:val="0090605F"/>
    <w:rsid w:val="00906100"/>
    <w:rsid w:val="00906769"/>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189"/>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693A"/>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00"/>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EA6"/>
    <w:rsid w:val="009355F0"/>
    <w:rsid w:val="00935B52"/>
    <w:rsid w:val="00935E52"/>
    <w:rsid w:val="00935F38"/>
    <w:rsid w:val="00936951"/>
    <w:rsid w:val="00936A90"/>
    <w:rsid w:val="009370A6"/>
    <w:rsid w:val="009374F8"/>
    <w:rsid w:val="00937AC7"/>
    <w:rsid w:val="00937B7C"/>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AF5"/>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9FD"/>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A8"/>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C52"/>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7F"/>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926"/>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444"/>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71"/>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08A"/>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E4E"/>
    <w:rsid w:val="00A74F6C"/>
    <w:rsid w:val="00A75204"/>
    <w:rsid w:val="00A75212"/>
    <w:rsid w:val="00A7538B"/>
    <w:rsid w:val="00A75586"/>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134"/>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26"/>
    <w:rsid w:val="00AA3354"/>
    <w:rsid w:val="00AA3421"/>
    <w:rsid w:val="00AA34E4"/>
    <w:rsid w:val="00AA3581"/>
    <w:rsid w:val="00AA37E0"/>
    <w:rsid w:val="00AA3927"/>
    <w:rsid w:val="00AA3AFB"/>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39D"/>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B5C"/>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3E6"/>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4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23E"/>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36"/>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A"/>
    <w:rsid w:val="00B8321E"/>
    <w:rsid w:val="00B8340C"/>
    <w:rsid w:val="00B83AC3"/>
    <w:rsid w:val="00B83D8E"/>
    <w:rsid w:val="00B83DF6"/>
    <w:rsid w:val="00B8408E"/>
    <w:rsid w:val="00B847B6"/>
    <w:rsid w:val="00B84920"/>
    <w:rsid w:val="00B84BE8"/>
    <w:rsid w:val="00B8555A"/>
    <w:rsid w:val="00B85A0D"/>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953"/>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27D"/>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35"/>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0CCA"/>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395"/>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4DF"/>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0EAF"/>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1B7"/>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90"/>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A5A"/>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270"/>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AFE"/>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19E"/>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893"/>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D6"/>
    <w:rsid w:val="00DA4B10"/>
    <w:rsid w:val="00DA4D11"/>
    <w:rsid w:val="00DA52E0"/>
    <w:rsid w:val="00DA5A53"/>
    <w:rsid w:val="00DA5CA9"/>
    <w:rsid w:val="00DA5E7E"/>
    <w:rsid w:val="00DA6727"/>
    <w:rsid w:val="00DA6728"/>
    <w:rsid w:val="00DA6763"/>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B86"/>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7DE"/>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A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3C7"/>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1CE"/>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BDD"/>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121"/>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0F07"/>
    <w:rsid w:val="00EB1495"/>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EA3"/>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1"/>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B6D"/>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E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AD8"/>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4FC"/>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E1A"/>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5A5"/>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0F0"/>
    <w:rsid w:val="00FF25F2"/>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9C8"/>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Microsoft_Visio_2003-2010_Drawing.vsd"/><Relationship Id="rId32" Type="http://schemas.openxmlformats.org/officeDocument/2006/relationships/oleObject" Target="embeddings/oleObject10.bin"/><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oleObject" Target="embeddings/oleObject8.bin"/><Relationship Id="rId36" Type="http://schemas.openxmlformats.org/officeDocument/2006/relationships/image" Target="media/image14.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FD46EE0-C902-4E67-863D-9EFF2E38D95C}">
  <ds:schemaRefs>
    <ds:schemaRef ds:uri="http://schemas.openxmlformats.org/officeDocument/2006/bibliography"/>
  </ds:schemaRefs>
</ds:datastoreItem>
</file>

<file path=customXml/itemProps4.xml><?xml version="1.0" encoding="utf-8"?>
<ds:datastoreItem xmlns:ds="http://schemas.openxmlformats.org/officeDocument/2006/customXml" ds:itemID="{BC30E3A0-E228-4274-887D-719B72C87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18183</TotalTime>
  <Pages>5</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9561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1540</cp:revision>
  <cp:lastPrinted>2011-11-09T07:49:00Z</cp:lastPrinted>
  <dcterms:created xsi:type="dcterms:W3CDTF">2018-11-02T18:38:00Z</dcterms:created>
  <dcterms:modified xsi:type="dcterms:W3CDTF">2021-04-07T05:25:00Z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